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51AB8">
        <w:rPr>
          <w:b/>
        </w:rPr>
        <w:t>02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387C95">
        <w:rPr>
          <w:b/>
        </w:rPr>
        <w:t>1141</w:t>
      </w:r>
    </w:p>
    <w:p w:rsidR="00C2072B" w:rsidRDefault="00BE1464" w:rsidP="00387C95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B51AB8" w:rsidRDefault="00B51AB8" w:rsidP="00C2072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87C95" w:rsidRPr="00387C95" w:rsidRDefault="00387C95" w:rsidP="00387C95">
      <w:pPr>
        <w:jc w:val="center"/>
        <w:rPr>
          <w:b/>
        </w:rPr>
      </w:pPr>
      <w:r w:rsidRPr="00387C95">
        <w:rPr>
          <w:b/>
          <w:bCs/>
        </w:rPr>
        <w:t xml:space="preserve">Об </w:t>
      </w:r>
      <w:r w:rsidRPr="00387C95">
        <w:rPr>
          <w:b/>
        </w:rPr>
        <w:t>основных направлениях бюджетной и налоговой политики</w:t>
      </w:r>
    </w:p>
    <w:p w:rsidR="00387C95" w:rsidRPr="00387C95" w:rsidRDefault="00387C95" w:rsidP="00387C95">
      <w:pPr>
        <w:jc w:val="center"/>
        <w:rPr>
          <w:b/>
        </w:rPr>
      </w:pPr>
      <w:r w:rsidRPr="00387C95">
        <w:rPr>
          <w:b/>
        </w:rPr>
        <w:t>Беломорского муниципального округа Республики Карелия</w:t>
      </w:r>
    </w:p>
    <w:p w:rsidR="00387C95" w:rsidRPr="00387C95" w:rsidRDefault="00387C95" w:rsidP="00387C95">
      <w:pPr>
        <w:jc w:val="center"/>
        <w:rPr>
          <w:b/>
        </w:rPr>
      </w:pPr>
      <w:r w:rsidRPr="00387C95">
        <w:rPr>
          <w:b/>
        </w:rPr>
        <w:t>на 2025 год и на плановый период 2026 и 2027 годов</w:t>
      </w:r>
    </w:p>
    <w:p w:rsidR="00387C95" w:rsidRPr="00D04071" w:rsidRDefault="00387C95" w:rsidP="00387C95">
      <w:pPr>
        <w:jc w:val="center"/>
        <w:rPr>
          <w:b/>
        </w:rPr>
      </w:pPr>
    </w:p>
    <w:p w:rsidR="00387C95" w:rsidRDefault="00387C95" w:rsidP="00387C95">
      <w:pPr>
        <w:ind w:firstLine="709"/>
        <w:jc w:val="both"/>
      </w:pPr>
    </w:p>
    <w:p w:rsidR="00387C95" w:rsidRPr="00387C95" w:rsidRDefault="00387C95" w:rsidP="00387C95">
      <w:pPr>
        <w:ind w:firstLine="709"/>
        <w:jc w:val="both"/>
      </w:pPr>
      <w:r w:rsidRPr="00387C95">
        <w:t>В соответствии со статьями 172, 184.2 Бюджетного кодекса Российской Федерации, администрация Беломорского муниципального округа постановляет: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387C95">
        <w:t>Утвердить прилагаемые Основные направления бюджетной и налоговой политики Беломорского муниципального округа Республики Карелия на 2025 год и на плановый период 2026 и 2027 годов.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Pr="00387C95">
        <w:t>Разместить настоящее постановление на официальном сайте Беломорского муниципального округа в информационно-коммуникационной сети Интерне</w:t>
      </w:r>
      <w:r>
        <w:t>т</w:t>
      </w:r>
      <w:r w:rsidRPr="00387C95">
        <w:t>.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Pr="00387C95">
        <w:t>Настоящее постановление вступает в силу с 1 января 2025 года.</w:t>
      </w:r>
    </w:p>
    <w:p w:rsidR="00387C95" w:rsidRPr="00387C95" w:rsidRDefault="00387C95" w:rsidP="00387C95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C95" w:rsidRDefault="00387C95" w:rsidP="00C2072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2072B" w:rsidRDefault="00C2072B" w:rsidP="00C2072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C7D4F" w:rsidRDefault="007C7D4F" w:rsidP="004B4527">
      <w:pPr>
        <w:tabs>
          <w:tab w:val="left" w:pos="9356"/>
        </w:tabs>
        <w:jc w:val="both"/>
      </w:pPr>
    </w:p>
    <w:p w:rsidR="00B51AB8" w:rsidRPr="009C2D8B" w:rsidRDefault="00B51AB8" w:rsidP="00B51AB8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B51AB8" w:rsidRPr="009C2D8B" w:rsidRDefault="00B51AB8" w:rsidP="00B51AB8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Default="00387C95" w:rsidP="004B4527">
      <w:pPr>
        <w:tabs>
          <w:tab w:val="left" w:pos="9356"/>
        </w:tabs>
        <w:jc w:val="both"/>
      </w:pPr>
    </w:p>
    <w:p w:rsidR="00387C95" w:rsidRPr="00387C95" w:rsidRDefault="00387C95" w:rsidP="00387C95">
      <w:pPr>
        <w:rPr>
          <w:sz w:val="20"/>
          <w:szCs w:val="20"/>
        </w:rPr>
      </w:pPr>
      <w:r w:rsidRPr="00387C95">
        <w:rPr>
          <w:sz w:val="20"/>
          <w:szCs w:val="20"/>
        </w:rPr>
        <w:t>Утверждены</w:t>
      </w:r>
    </w:p>
    <w:p w:rsidR="00387C95" w:rsidRPr="00387C95" w:rsidRDefault="00387C95" w:rsidP="00387C95">
      <w:pPr>
        <w:rPr>
          <w:sz w:val="20"/>
          <w:szCs w:val="20"/>
        </w:rPr>
      </w:pPr>
      <w:r w:rsidRPr="00387C95">
        <w:rPr>
          <w:sz w:val="20"/>
          <w:szCs w:val="20"/>
        </w:rPr>
        <w:t>постановлением администрации</w:t>
      </w:r>
    </w:p>
    <w:p w:rsidR="00387C95" w:rsidRPr="00387C95" w:rsidRDefault="00387C95" w:rsidP="00387C95">
      <w:pPr>
        <w:rPr>
          <w:sz w:val="20"/>
          <w:szCs w:val="20"/>
        </w:rPr>
      </w:pPr>
      <w:r w:rsidRPr="00387C95">
        <w:rPr>
          <w:sz w:val="20"/>
          <w:szCs w:val="20"/>
        </w:rPr>
        <w:t>Беломорского муниципального округа</w:t>
      </w:r>
    </w:p>
    <w:p w:rsidR="00387C95" w:rsidRPr="00387C95" w:rsidRDefault="00387C95" w:rsidP="00387C95">
      <w:pPr>
        <w:rPr>
          <w:sz w:val="20"/>
          <w:szCs w:val="20"/>
        </w:rPr>
      </w:pPr>
      <w:r w:rsidRPr="00387C95">
        <w:rPr>
          <w:sz w:val="20"/>
          <w:szCs w:val="20"/>
        </w:rPr>
        <w:t xml:space="preserve"> от 02 декабря 2024 г. №  1141</w:t>
      </w:r>
    </w:p>
    <w:p w:rsidR="00387C95" w:rsidRPr="000F3E27" w:rsidRDefault="00387C95" w:rsidP="00387C95">
      <w:pPr>
        <w:pStyle w:val="a6"/>
        <w:jc w:val="center"/>
        <w:outlineLvl w:val="3"/>
        <w:rPr>
          <w:b/>
          <w:bCs/>
        </w:rPr>
      </w:pPr>
    </w:p>
    <w:p w:rsidR="00387C95" w:rsidRPr="00387C95" w:rsidRDefault="00387C95" w:rsidP="00387C95">
      <w:pPr>
        <w:jc w:val="center"/>
        <w:rPr>
          <w:b/>
        </w:rPr>
      </w:pPr>
      <w:r w:rsidRPr="00387C95">
        <w:rPr>
          <w:b/>
        </w:rPr>
        <w:t xml:space="preserve">Основные направления бюджетной и налоговой политики </w:t>
      </w:r>
    </w:p>
    <w:p w:rsidR="00387C95" w:rsidRPr="00387C95" w:rsidRDefault="00387C95" w:rsidP="00387C95">
      <w:pPr>
        <w:jc w:val="center"/>
        <w:rPr>
          <w:b/>
        </w:rPr>
      </w:pPr>
      <w:r w:rsidRPr="00387C95">
        <w:rPr>
          <w:b/>
        </w:rPr>
        <w:t>Беломорского муниципального округа Республики Карелия</w:t>
      </w:r>
    </w:p>
    <w:p w:rsidR="00387C95" w:rsidRPr="00387C95" w:rsidRDefault="00387C95" w:rsidP="00387C95">
      <w:pPr>
        <w:jc w:val="center"/>
        <w:rPr>
          <w:b/>
        </w:rPr>
      </w:pPr>
      <w:r w:rsidRPr="00387C95">
        <w:rPr>
          <w:b/>
        </w:rPr>
        <w:t>на 2025 год и на плановый период 2026 и 2027 годов</w:t>
      </w:r>
    </w:p>
    <w:p w:rsidR="00387C95" w:rsidRDefault="00387C95" w:rsidP="00387C95">
      <w:pPr>
        <w:jc w:val="center"/>
        <w:rPr>
          <w:b/>
        </w:rPr>
      </w:pPr>
    </w:p>
    <w:p w:rsidR="00387C95" w:rsidRPr="00387C95" w:rsidRDefault="00387C95" w:rsidP="00387C95">
      <w:pPr>
        <w:pStyle w:val="a3"/>
        <w:ind w:left="0"/>
        <w:jc w:val="center"/>
        <w:rPr>
          <w:b/>
        </w:rPr>
      </w:pPr>
      <w:r w:rsidRPr="00387C95">
        <w:rPr>
          <w:b/>
        </w:rPr>
        <w:t>1. Общие положения</w:t>
      </w:r>
    </w:p>
    <w:p w:rsidR="00387C95" w:rsidRPr="00387C95" w:rsidRDefault="00387C95" w:rsidP="00387C95">
      <w:pPr>
        <w:pStyle w:val="a3"/>
        <w:ind w:left="0"/>
        <w:jc w:val="center"/>
        <w:rPr>
          <w:b/>
        </w:rPr>
      </w:pPr>
    </w:p>
    <w:p w:rsidR="00387C95" w:rsidRPr="00387C95" w:rsidRDefault="00387C95" w:rsidP="00387C95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</w:rPr>
      </w:pPr>
      <w:r w:rsidRPr="00387C95">
        <w:rPr>
          <w:bCs/>
        </w:rPr>
        <w:t xml:space="preserve">Основные направления бюджетной и налоговой </w:t>
      </w:r>
      <w:r w:rsidRPr="00387C95">
        <w:t xml:space="preserve">политики Беломорского муниципального округа Республики Карелия на 2025 год и на плановый период 2026 и 2027 годов (далее - основные направления) разработаны в соответствии со статьей 172 Бюджетного кодекса Российской Федерации и являются основой для составления </w:t>
      </w:r>
      <w:r w:rsidRPr="00387C95">
        <w:rPr>
          <w:rFonts w:eastAsia="Courier New"/>
        </w:rPr>
        <w:t>проекта бюджета Беломорского муниципального округа на 2025 год и на плановый период 2026 и 2027 годов (далее – проект бюджета).</w:t>
      </w:r>
    </w:p>
    <w:p w:rsidR="00387C95" w:rsidRPr="00387C95" w:rsidRDefault="00387C95" w:rsidP="00387C95">
      <w:pPr>
        <w:widowControl w:val="0"/>
        <w:autoSpaceDE w:val="0"/>
        <w:autoSpaceDN w:val="0"/>
        <w:adjustRightInd w:val="0"/>
        <w:ind w:firstLine="709"/>
        <w:jc w:val="both"/>
      </w:pPr>
      <w:r w:rsidRPr="00387C95">
        <w:t>Основные направления разработаны с учетом  Послания Президента Российской Федерации Федеральному Собранию Российской Федерации от 29 февраля 2024 года, Указа Президента Российской Федерации от 07 мая 2024 года № 309 «О национальных целях развития Российской Федерации на период до 2030 года и на перспективу до               2036 года</w:t>
      </w:r>
      <w:r w:rsidRPr="00387C95">
        <w:rPr>
          <w:rFonts w:eastAsia="Courier New"/>
        </w:rPr>
        <w:t>.</w:t>
      </w:r>
    </w:p>
    <w:p w:rsidR="00387C95" w:rsidRPr="00387C95" w:rsidRDefault="00387C95" w:rsidP="00387C95">
      <w:pPr>
        <w:pStyle w:val="210"/>
        <w:spacing w:before="0" w:beforeAutospacing="0" w:after="0" w:afterAutospacing="0"/>
        <w:ind w:firstLine="709"/>
        <w:jc w:val="both"/>
      </w:pPr>
      <w:r w:rsidRPr="00387C95">
        <w:rPr>
          <w:rFonts w:eastAsia="Courier New"/>
        </w:rPr>
        <w:t xml:space="preserve">Определенные в основных направлениях приоритеты формирования проекта бюджета ориентированы на обеспечение его сбалансированности </w:t>
      </w:r>
      <w:r w:rsidRPr="00387C95">
        <w:rPr>
          <w:rStyle w:val="27"/>
          <w:rFonts w:eastAsiaTheme="majorEastAsia"/>
        </w:rPr>
        <w:t>путем совершенствования работы по мобилизации доходов и оптимизации расходов.</w:t>
      </w:r>
    </w:p>
    <w:p w:rsidR="00387C95" w:rsidRPr="00387C95" w:rsidRDefault="00387C95" w:rsidP="00387C95">
      <w:pPr>
        <w:jc w:val="center"/>
        <w:rPr>
          <w:b/>
        </w:rPr>
      </w:pPr>
    </w:p>
    <w:p w:rsidR="00387C95" w:rsidRDefault="00387C95" w:rsidP="00387C95">
      <w:pPr>
        <w:jc w:val="center"/>
        <w:rPr>
          <w:b/>
        </w:rPr>
      </w:pPr>
      <w:r w:rsidRPr="00387C95">
        <w:rPr>
          <w:b/>
        </w:rPr>
        <w:t>2. Основные направления бюджетной политики</w:t>
      </w:r>
    </w:p>
    <w:p w:rsidR="00387C95" w:rsidRPr="00387C95" w:rsidRDefault="00387C95" w:rsidP="00387C95">
      <w:pPr>
        <w:jc w:val="center"/>
        <w:rPr>
          <w:b/>
        </w:rPr>
      </w:pPr>
    </w:p>
    <w:p w:rsidR="00387C95" w:rsidRPr="00387C95" w:rsidRDefault="00387C95" w:rsidP="00387C95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</w:rPr>
      </w:pPr>
      <w:r w:rsidRPr="00387C95">
        <w:t xml:space="preserve">Формирование бюджетной политики </w:t>
      </w:r>
      <w:r w:rsidRPr="00387C95">
        <w:rPr>
          <w:rFonts w:eastAsia="Courier New"/>
        </w:rPr>
        <w:t>Беломорского муниципального округа</w:t>
      </w:r>
      <w:r w:rsidRPr="00387C95">
        <w:t xml:space="preserve"> на 2025 год и на плановый период 2026 и 2027 годов (далее – бюджетная политика) осуществляется на принципах обеспечения устойчивости и сбалансированности бюджета </w:t>
      </w:r>
      <w:r w:rsidRPr="00387C95">
        <w:rPr>
          <w:rFonts w:eastAsia="Courier New"/>
        </w:rPr>
        <w:t xml:space="preserve">Беломорского муниципального округа (далее - бюджет округа) </w:t>
      </w:r>
      <w:r w:rsidRPr="00387C95">
        <w:t>при безусловном исполнении всех принятых на себя обязательств</w:t>
      </w:r>
      <w:r w:rsidRPr="00387C95">
        <w:rPr>
          <w:rFonts w:eastAsia="Courier New"/>
        </w:rPr>
        <w:t>.</w:t>
      </w:r>
    </w:p>
    <w:p w:rsidR="00387C95" w:rsidRPr="00387C95" w:rsidRDefault="00387C95" w:rsidP="00387C95">
      <w:pPr>
        <w:pStyle w:val="210"/>
        <w:spacing w:before="0" w:beforeAutospacing="0" w:after="0" w:afterAutospacing="0"/>
        <w:ind w:firstLine="709"/>
        <w:jc w:val="both"/>
      </w:pPr>
      <w:r w:rsidRPr="00387C95">
        <w:rPr>
          <w:rStyle w:val="27"/>
          <w:rFonts w:eastAsiaTheme="majorEastAsia"/>
        </w:rPr>
        <w:t>Бюджетное планирование способствует формированию стабильных и предсказуемых экономических, налоговых и финансовых условий.</w:t>
      </w:r>
    </w:p>
    <w:p w:rsidR="00387C95" w:rsidRPr="00387C95" w:rsidRDefault="00387C95" w:rsidP="00387C9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C95">
        <w:rPr>
          <w:rFonts w:ascii="Times New Roman" w:hAnsi="Times New Roman" w:cs="Times New Roman"/>
          <w:bCs/>
          <w:sz w:val="24"/>
          <w:szCs w:val="24"/>
        </w:rPr>
        <w:t>Приоритетом бюджетной политики в области доходов является: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387C95">
        <w:rPr>
          <w:rFonts w:ascii="Times New Roman" w:hAnsi="Times New Roman" w:cs="Times New Roman"/>
          <w:spacing w:val="-4"/>
          <w:sz w:val="24"/>
          <w:szCs w:val="24"/>
        </w:rPr>
        <w:t>обеспечение качественного прогнозирования и выполнения установленного</w:t>
      </w:r>
      <w:r w:rsidRPr="00387C95">
        <w:rPr>
          <w:rFonts w:ascii="Times New Roman" w:hAnsi="Times New Roman" w:cs="Times New Roman"/>
          <w:sz w:val="24"/>
          <w:szCs w:val="24"/>
        </w:rPr>
        <w:t xml:space="preserve"> плана по поступлению доходов;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7C95">
        <w:rPr>
          <w:rFonts w:ascii="Times New Roman" w:hAnsi="Times New Roman" w:cs="Times New Roman"/>
          <w:bCs/>
          <w:sz w:val="24"/>
          <w:szCs w:val="24"/>
        </w:rPr>
        <w:t>сохранение положительной динамики поступления доходов и повышение доходного потенциала бюджета округа, в том числе за счет стимулирования предпринимательской и инвестиционной активности;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7C95">
        <w:rPr>
          <w:rFonts w:ascii="Times New Roman" w:hAnsi="Times New Roman" w:cs="Times New Roman"/>
          <w:bCs/>
          <w:sz w:val="24"/>
          <w:szCs w:val="24"/>
        </w:rPr>
        <w:t>выявление и мобилизация внутренних резервов.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C95">
        <w:rPr>
          <w:rFonts w:ascii="Times New Roman" w:hAnsi="Times New Roman" w:cs="Times New Roman"/>
          <w:bCs/>
          <w:sz w:val="24"/>
          <w:szCs w:val="24"/>
        </w:rPr>
        <w:t>Достижение указанных задач (приоритетов) в предстоящем финансовом периоде, как и прежде, будет осуществляться путем реализации следующих мероприятий: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7C95">
        <w:rPr>
          <w:rFonts w:ascii="Times New Roman" w:hAnsi="Times New Roman" w:cs="Times New Roman"/>
          <w:bCs/>
          <w:sz w:val="24"/>
          <w:szCs w:val="24"/>
        </w:rPr>
        <w:t>мониторинга уровня собираемости налоговых и неналоговых доходов;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7C95">
        <w:rPr>
          <w:rFonts w:ascii="Times New Roman" w:hAnsi="Times New Roman" w:cs="Times New Roman"/>
          <w:bCs/>
          <w:sz w:val="24"/>
          <w:szCs w:val="24"/>
        </w:rPr>
        <w:t xml:space="preserve">мониторинга состояния расчетов с бюджетом округа крупнейших налогоплательщиков, осуществляющих свою деятельность на территории </w:t>
      </w:r>
      <w:r w:rsidRPr="00387C95">
        <w:rPr>
          <w:rFonts w:ascii="Times New Roman" w:eastAsia="Courier New" w:hAnsi="Times New Roman" w:cs="Times New Roman"/>
          <w:sz w:val="24"/>
          <w:szCs w:val="24"/>
        </w:rPr>
        <w:t>Беломорского муниципального округа</w:t>
      </w:r>
      <w:r w:rsidRPr="00387C95">
        <w:rPr>
          <w:rFonts w:ascii="Times New Roman" w:hAnsi="Times New Roman" w:cs="Times New Roman"/>
          <w:bCs/>
          <w:sz w:val="24"/>
          <w:szCs w:val="24"/>
        </w:rPr>
        <w:t>;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87C95">
        <w:rPr>
          <w:rFonts w:ascii="Times New Roman" w:hAnsi="Times New Roman" w:cs="Times New Roman"/>
          <w:sz w:val="24"/>
          <w:szCs w:val="24"/>
        </w:rPr>
        <w:t>осуществления сотрудничества с налоговыми органами в целях улучшения информационного обмена;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87C95">
        <w:rPr>
          <w:rFonts w:ascii="Times New Roman" w:hAnsi="Times New Roman" w:cs="Times New Roman"/>
          <w:sz w:val="24"/>
          <w:szCs w:val="24"/>
        </w:rPr>
        <w:t>оценки эффективности налоговых расходов, и по результатам оценки отмена неэффективных налоговых расходов;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87C95">
        <w:rPr>
          <w:rFonts w:ascii="Times New Roman" w:hAnsi="Times New Roman" w:cs="Times New Roman"/>
          <w:sz w:val="24"/>
          <w:szCs w:val="24"/>
        </w:rPr>
        <w:t>повышения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387C95" w:rsidRDefault="00387C95" w:rsidP="00387C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87C95">
        <w:rPr>
          <w:rFonts w:ascii="Times New Roman" w:hAnsi="Times New Roman" w:cs="Times New Roman"/>
          <w:sz w:val="24"/>
          <w:szCs w:val="24"/>
        </w:rPr>
        <w:t>дальнейшего осуществления работы комиссии по мобилизации дополнительных налоговых и неналоговых доходов в бюджет Беломорского муниципального округа.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C95">
        <w:rPr>
          <w:rFonts w:ascii="Times New Roman" w:hAnsi="Times New Roman" w:cs="Times New Roman"/>
          <w:bCs/>
          <w:sz w:val="24"/>
          <w:szCs w:val="24"/>
        </w:rPr>
        <w:t>Приоритетом бюджетной политики в области расходов по-прежнему является: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C9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7C95">
        <w:rPr>
          <w:rFonts w:ascii="Times New Roman" w:hAnsi="Times New Roman" w:cs="Times New Roman"/>
          <w:bCs/>
          <w:sz w:val="24"/>
          <w:szCs w:val="24"/>
        </w:rPr>
        <w:t>консервативный подход к формированию расходов бюджета округа;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87C95">
        <w:rPr>
          <w:rFonts w:ascii="Times New Roman" w:hAnsi="Times New Roman" w:cs="Times New Roman"/>
          <w:sz w:val="24"/>
          <w:szCs w:val="24"/>
        </w:rPr>
        <w:t>повышение эффективности управления расходами, приоритизация расходов;</w:t>
      </w:r>
    </w:p>
    <w:p w:rsidR="00387C95" w:rsidRPr="00387C95" w:rsidRDefault="00387C95" w:rsidP="00387C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</w:r>
      <w:r w:rsidRPr="00387C95">
        <w:rPr>
          <w:rFonts w:eastAsia="Calibri"/>
          <w:lang w:eastAsia="en-US"/>
        </w:rPr>
        <w:t>обеспечение выполнения целевых показателей муниципальных программ.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C95">
        <w:rPr>
          <w:rFonts w:ascii="Times New Roman" w:hAnsi="Times New Roman" w:cs="Times New Roman"/>
          <w:bCs/>
          <w:sz w:val="24"/>
          <w:szCs w:val="24"/>
        </w:rPr>
        <w:t>Достижение указанных приоритетов в предстоящем финансовом периоде будет осуществляться путем реализации следующих мероприятий: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387C95">
        <w:t>концентрация бюджетных расходов на решении ключевых проблем и достижении конечных результатов;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387C95">
        <w:t>обеспечение прозрачности и открытости финансово-хозяйственной деятельности подведомственных муниципальных учреждений;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387C95">
        <w:t>рассмотрение возможности участия общественного мнения в формировании проекта бюджета;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387C95">
        <w:t>формирование и исполнение «программного бюджета»;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  <w:rPr>
          <w:rStyle w:val="27"/>
          <w:rFonts w:eastAsiaTheme="majorEastAsia"/>
        </w:rPr>
      </w:pPr>
      <w:r>
        <w:rPr>
          <w:rStyle w:val="27"/>
          <w:rFonts w:eastAsiaTheme="majorEastAsia"/>
        </w:rPr>
        <w:t>-</w:t>
      </w:r>
      <w:r>
        <w:rPr>
          <w:rStyle w:val="27"/>
          <w:rFonts w:eastAsiaTheme="majorEastAsia"/>
        </w:rPr>
        <w:tab/>
      </w:r>
      <w:r w:rsidRPr="00387C95">
        <w:rPr>
          <w:rStyle w:val="27"/>
          <w:rFonts w:eastAsiaTheme="majorEastAsia"/>
        </w:rPr>
        <w:t>выполнения мероприятий программы оздоровления муниципальных финансов;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</w:pPr>
      <w:r w:rsidRPr="00387C95">
        <w:t>-</w:t>
      </w:r>
      <w:r>
        <w:tab/>
      </w:r>
      <w:r w:rsidRPr="00387C95">
        <w:t>совершенствование долговой политики Беломорского муниципального округа с учетом соблюдения безопасного уровня долговой нагрузки на бюджет округа.</w:t>
      </w:r>
    </w:p>
    <w:p w:rsidR="00387C95" w:rsidRPr="00387C95" w:rsidRDefault="00387C95" w:rsidP="00387C95">
      <w:pPr>
        <w:tabs>
          <w:tab w:val="left" w:pos="993"/>
        </w:tabs>
        <w:ind w:firstLine="709"/>
        <w:jc w:val="both"/>
      </w:pPr>
      <w:r w:rsidRPr="00387C95">
        <w:t>Проектируемые расходы бюджета округа будут формироваться с учетом полного финансового обеспечения выплаты заработной платы, в том числе с сохранением достигнутого уровня целевых показателей повышения оплаты труда работников бюджетной сферы, установленных указами президента Российской Федерации 2012 года, и минимального размера оплаты труда, обеспечения социально значимых обязательств, включая предоставление мер социальной поддержки отдельным категориям граждан, оплаты коммунальных услуг.</w:t>
      </w:r>
    </w:p>
    <w:p w:rsidR="00387C95" w:rsidRDefault="00387C95" w:rsidP="00387C95">
      <w:pPr>
        <w:ind w:firstLine="709"/>
        <w:jc w:val="both"/>
        <w:rPr>
          <w:b/>
        </w:rPr>
      </w:pPr>
    </w:p>
    <w:p w:rsidR="00387C95" w:rsidRDefault="00387C95" w:rsidP="00387C95">
      <w:pPr>
        <w:jc w:val="center"/>
        <w:rPr>
          <w:b/>
        </w:rPr>
      </w:pPr>
      <w:r w:rsidRPr="00387C95">
        <w:rPr>
          <w:b/>
        </w:rPr>
        <w:t>3. Основные направления налоговой политики</w:t>
      </w:r>
    </w:p>
    <w:p w:rsidR="00387C95" w:rsidRPr="00387C95" w:rsidRDefault="00387C95" w:rsidP="00387C95">
      <w:pPr>
        <w:jc w:val="center"/>
        <w:rPr>
          <w:b/>
        </w:rPr>
      </w:pPr>
    </w:p>
    <w:p w:rsidR="00387C95" w:rsidRPr="00387C95" w:rsidRDefault="00387C95" w:rsidP="00387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C95">
        <w:rPr>
          <w:rFonts w:ascii="Times New Roman" w:hAnsi="Times New Roman" w:cs="Times New Roman"/>
          <w:sz w:val="24"/>
          <w:szCs w:val="24"/>
        </w:rPr>
        <w:t xml:space="preserve">Налоговая политика </w:t>
      </w:r>
      <w:r w:rsidRPr="00387C95">
        <w:rPr>
          <w:rFonts w:ascii="Times New Roman" w:eastAsia="Courier New" w:hAnsi="Times New Roman" w:cs="Times New Roman"/>
          <w:sz w:val="24"/>
          <w:szCs w:val="24"/>
        </w:rPr>
        <w:t xml:space="preserve">Беломорского муниципального округа на 2025 год и на плановый период 2026 и 2027 годов (далее – налоговая политика) </w:t>
      </w:r>
      <w:r w:rsidRPr="00387C95">
        <w:rPr>
          <w:rFonts w:ascii="Times New Roman" w:hAnsi="Times New Roman" w:cs="Times New Roman"/>
          <w:sz w:val="24"/>
          <w:szCs w:val="24"/>
        </w:rPr>
        <w:t xml:space="preserve">направлена на сохранение и укрепление налогового потенциала </w:t>
      </w:r>
      <w:r w:rsidRPr="00387C95">
        <w:rPr>
          <w:rFonts w:ascii="Times New Roman" w:eastAsia="Courier New" w:hAnsi="Times New Roman" w:cs="Times New Roman"/>
          <w:sz w:val="24"/>
          <w:szCs w:val="24"/>
        </w:rPr>
        <w:t>Беломорского муниципального округа</w:t>
      </w:r>
      <w:r w:rsidRPr="00387C95">
        <w:rPr>
          <w:rFonts w:ascii="Times New Roman" w:hAnsi="Times New Roman" w:cs="Times New Roman"/>
          <w:sz w:val="24"/>
          <w:szCs w:val="24"/>
        </w:rPr>
        <w:t xml:space="preserve"> за счет формирования благоприятного инвестиционного климата, повышения качества администрирования доходов, повышения уровня их собираемости, легализации налоговой базы, включая легализацию «теневой» заработной платы.</w:t>
      </w:r>
    </w:p>
    <w:p w:rsidR="00387C95" w:rsidRPr="00387C95" w:rsidRDefault="00387C95" w:rsidP="00387C9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C95">
        <w:rPr>
          <w:rFonts w:ascii="Times New Roman" w:hAnsi="Times New Roman" w:cs="Times New Roman"/>
          <w:bCs/>
          <w:sz w:val="24"/>
          <w:szCs w:val="24"/>
        </w:rPr>
        <w:t>Исходя из задач, поставленных Президентом Российской Федерации и Правительством Российской Федерации, приоритетом налоговой политики в области доходов является: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7C95">
        <w:rPr>
          <w:rFonts w:ascii="Times New Roman" w:hAnsi="Times New Roman" w:cs="Times New Roman"/>
          <w:bCs/>
          <w:sz w:val="24"/>
          <w:szCs w:val="24"/>
        </w:rPr>
        <w:t>сохранение положительной динамики поступления доходов и повышение доходного потенциала бюджета округа, в том числе за счет стимулирования предпринимательской и инвестиционной активности, связанной с включением Беломорского муниципального округа в Арктическую зону;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7C95">
        <w:rPr>
          <w:rFonts w:ascii="Times New Roman" w:hAnsi="Times New Roman" w:cs="Times New Roman"/>
          <w:bCs/>
          <w:sz w:val="24"/>
          <w:szCs w:val="24"/>
        </w:rPr>
        <w:t>выявление и мобилизация внутренних резервов, реалистичность прогнозирования доходной базы.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C95">
        <w:rPr>
          <w:rFonts w:ascii="Times New Roman" w:hAnsi="Times New Roman" w:cs="Times New Roman"/>
          <w:sz w:val="24"/>
          <w:szCs w:val="24"/>
        </w:rPr>
        <w:t>Этому будет способствовать решение следующих задач: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87C95">
        <w:rPr>
          <w:rFonts w:ascii="Times New Roman" w:hAnsi="Times New Roman" w:cs="Times New Roman"/>
          <w:sz w:val="24"/>
          <w:szCs w:val="24"/>
        </w:rPr>
        <w:t xml:space="preserve">содействие дальнейшему развитию субъектов малого предпринимательства на территории </w:t>
      </w:r>
      <w:r w:rsidRPr="00387C95">
        <w:rPr>
          <w:rFonts w:ascii="Times New Roman" w:eastAsia="Courier New" w:hAnsi="Times New Roman" w:cs="Times New Roman"/>
          <w:sz w:val="24"/>
          <w:szCs w:val="24"/>
        </w:rPr>
        <w:t>Беломорского муниципального округа</w:t>
      </w:r>
      <w:r w:rsidRPr="00387C95">
        <w:rPr>
          <w:rFonts w:ascii="Times New Roman" w:hAnsi="Times New Roman" w:cs="Times New Roman"/>
          <w:sz w:val="24"/>
          <w:szCs w:val="24"/>
        </w:rPr>
        <w:t>;</w:t>
      </w:r>
    </w:p>
    <w:p w:rsidR="00387C95" w:rsidRPr="00387C95" w:rsidRDefault="00387C95" w:rsidP="00387C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87C95">
        <w:rPr>
          <w:rFonts w:ascii="Times New Roman" w:hAnsi="Times New Roman" w:cs="Times New Roman"/>
          <w:sz w:val="24"/>
          <w:szCs w:val="24"/>
        </w:rPr>
        <w:t>сохранение на период 2025 – 2027 годов ограничений на принятие новых налоговых льгот по местным налогам;</w:t>
      </w:r>
    </w:p>
    <w:p w:rsidR="00387C95" w:rsidRPr="00387C95" w:rsidRDefault="00387C95" w:rsidP="00387C9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Pr="00387C95">
        <w:t>ежегодное проведение оценки эффективности налоговых расходов, принятие мер по отмене неэффективных налоговых расходов;</w:t>
      </w:r>
    </w:p>
    <w:p w:rsidR="00387C95" w:rsidRPr="00387C95" w:rsidRDefault="00387C95" w:rsidP="00387C9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Pr="00387C95">
        <w:t>повышение эффективности использования муниципальной собственности;</w:t>
      </w:r>
    </w:p>
    <w:p w:rsidR="00387C95" w:rsidRPr="00387C95" w:rsidRDefault="00387C95" w:rsidP="00387C95">
      <w:pPr>
        <w:tabs>
          <w:tab w:val="left" w:pos="993"/>
        </w:tabs>
        <w:ind w:firstLine="709"/>
        <w:contextualSpacing/>
        <w:jc w:val="both"/>
      </w:pPr>
      <w:r>
        <w:t>-</w:t>
      </w:r>
      <w:r>
        <w:tab/>
      </w:r>
      <w:r w:rsidRPr="00387C95">
        <w:t>продолжение работы, направленной на повышение собираемости платежей в бюджет округа, проведение претензионной работы с неплательщиками, осуществление мер принудительного взыскания задолженности;</w:t>
      </w:r>
    </w:p>
    <w:p w:rsidR="00387C95" w:rsidRDefault="00387C95" w:rsidP="00387C95">
      <w:pPr>
        <w:autoSpaceDE w:val="0"/>
        <w:autoSpaceDN w:val="0"/>
        <w:adjustRightInd w:val="0"/>
        <w:ind w:firstLine="709"/>
        <w:jc w:val="both"/>
      </w:pPr>
    </w:p>
    <w:p w:rsidR="00387C95" w:rsidRPr="00387C95" w:rsidRDefault="00387C95" w:rsidP="00387C9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Pr="00387C95">
        <w:t>в целях содействия налоговым органам по администрированию ими доходов бюджета округа будет продолжена работа комиссии по мобилизации дополнительных налоговых и неналоговых доходов в бюджет Беломорского муниципального округа с целью обеспечения своевременного поступления платежей в бюджет, увеличения налогооблагаемой базы, стабилизации финансового состояния организаций, выявления и пресечения схем минимизации налогов, совершенствования методов контроля легализации «теневой» заработной платы;</w:t>
      </w:r>
    </w:p>
    <w:p w:rsidR="00387C95" w:rsidRPr="00387C95" w:rsidRDefault="00387C95" w:rsidP="00387C9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Pr="00387C95">
        <w:t>проведение плановых и внеплановых выездных проверок соблюдения требований земельного законодательства в рамках муниципального земельного контроля;</w:t>
      </w:r>
    </w:p>
    <w:p w:rsidR="00387C95" w:rsidRPr="00387C95" w:rsidRDefault="00387C95" w:rsidP="00387C9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Pr="00387C95">
        <w:t>вовлечение в хозяйственный оборот объектов недвижимости, в том числе по установлению (уточнению):</w:t>
      </w:r>
    </w:p>
    <w:p w:rsidR="00387C95" w:rsidRPr="00387C95" w:rsidRDefault="00387C95" w:rsidP="00387C95">
      <w:pPr>
        <w:autoSpaceDE w:val="0"/>
        <w:autoSpaceDN w:val="0"/>
        <w:adjustRightInd w:val="0"/>
        <w:ind w:firstLine="709"/>
        <w:jc w:val="both"/>
      </w:pPr>
      <w:r w:rsidRPr="00387C95">
        <w:t>правообладателей земельных участков, зданий, помещений, сооружений,</w:t>
      </w:r>
    </w:p>
    <w:p w:rsidR="00387C95" w:rsidRPr="00387C95" w:rsidRDefault="00387C95" w:rsidP="00387C95">
      <w:pPr>
        <w:autoSpaceDE w:val="0"/>
        <w:autoSpaceDN w:val="0"/>
        <w:adjustRightInd w:val="0"/>
        <w:ind w:firstLine="709"/>
        <w:jc w:val="both"/>
      </w:pPr>
      <w:r w:rsidRPr="00387C95">
        <w:t>категорий земель и (или) видов разрешенного использования земельных участков,</w:t>
      </w:r>
    </w:p>
    <w:p w:rsidR="00387C95" w:rsidRPr="00387C95" w:rsidRDefault="00387C95" w:rsidP="00387C95">
      <w:pPr>
        <w:autoSpaceDE w:val="0"/>
        <w:autoSpaceDN w:val="0"/>
        <w:adjustRightInd w:val="0"/>
        <w:ind w:firstLine="709"/>
        <w:jc w:val="both"/>
      </w:pPr>
      <w:r w:rsidRPr="00387C95">
        <w:t>площадей земельных участков, зданий, помещений, сооружений,</w:t>
      </w:r>
    </w:p>
    <w:p w:rsidR="00387C95" w:rsidRPr="00387C95" w:rsidRDefault="00387C95" w:rsidP="00387C95">
      <w:pPr>
        <w:autoSpaceDE w:val="0"/>
        <w:autoSpaceDN w:val="0"/>
        <w:adjustRightInd w:val="0"/>
        <w:ind w:firstLine="709"/>
        <w:jc w:val="both"/>
      </w:pPr>
      <w:r w:rsidRPr="00387C95">
        <w:t>адресов места нахождения земельных участков, зданий, помещений, сооружений.</w:t>
      </w:r>
    </w:p>
    <w:p w:rsidR="00387C95" w:rsidRPr="00387C95" w:rsidRDefault="00387C95" w:rsidP="00387C95">
      <w:pPr>
        <w:ind w:firstLine="709"/>
        <w:jc w:val="both"/>
      </w:pPr>
      <w:r w:rsidRPr="00387C95"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387C95" w:rsidRPr="00387C95" w:rsidRDefault="00387C95" w:rsidP="00387C95">
      <w:pPr>
        <w:ind w:firstLine="709"/>
        <w:jc w:val="both"/>
      </w:pPr>
      <w:r w:rsidRPr="00387C95"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бюджета округа и снижения рисков несбалансированности бюджета.</w:t>
      </w:r>
    </w:p>
    <w:p w:rsidR="00387C95" w:rsidRPr="00387C95" w:rsidRDefault="00387C95" w:rsidP="00387C95">
      <w:pPr>
        <w:ind w:firstLine="709"/>
      </w:pPr>
    </w:p>
    <w:p w:rsidR="00387C95" w:rsidRPr="00387C95" w:rsidRDefault="00387C95" w:rsidP="00387C95">
      <w:pPr>
        <w:tabs>
          <w:tab w:val="left" w:pos="9356"/>
        </w:tabs>
        <w:ind w:firstLine="709"/>
        <w:jc w:val="both"/>
      </w:pPr>
    </w:p>
    <w:p w:rsidR="00B51AB8" w:rsidRPr="00387C95" w:rsidRDefault="00B51AB8" w:rsidP="00387C95">
      <w:pPr>
        <w:tabs>
          <w:tab w:val="left" w:pos="9356"/>
        </w:tabs>
        <w:ind w:firstLine="709"/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p w:rsidR="00B51AB8" w:rsidRDefault="00B51AB8" w:rsidP="004B4527">
      <w:pPr>
        <w:tabs>
          <w:tab w:val="left" w:pos="9356"/>
        </w:tabs>
        <w:jc w:val="both"/>
      </w:pPr>
    </w:p>
    <w:sectPr w:rsidR="00B51AB8" w:rsidSect="00387C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072E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87C9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81E55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18CE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A0CCF"/>
    <w:rsid w:val="009B5750"/>
    <w:rsid w:val="009B719F"/>
    <w:rsid w:val="009C54AC"/>
    <w:rsid w:val="009E1756"/>
    <w:rsid w:val="009F4144"/>
    <w:rsid w:val="009F481C"/>
    <w:rsid w:val="009F6294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51AB8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193</cp:revision>
  <cp:lastPrinted>2024-12-03T07:04:00Z</cp:lastPrinted>
  <dcterms:created xsi:type="dcterms:W3CDTF">2023-11-20T13:40:00Z</dcterms:created>
  <dcterms:modified xsi:type="dcterms:W3CDTF">2024-12-03T07:07:00Z</dcterms:modified>
</cp:coreProperties>
</file>