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E4" w:rsidRDefault="00E73CE4" w:rsidP="00E73CE4">
      <w:pPr>
        <w:jc w:val="center"/>
      </w:pPr>
      <w:r w:rsidRPr="00F840C2">
        <w:rPr>
          <w:noProof/>
        </w:rPr>
        <w:drawing>
          <wp:inline distT="0" distB="0" distL="0" distR="0">
            <wp:extent cx="73152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922020"/>
                    </a:xfrm>
                    <a:prstGeom prst="rect">
                      <a:avLst/>
                    </a:prstGeom>
                    <a:noFill/>
                    <a:ln>
                      <a:noFill/>
                    </a:ln>
                  </pic:spPr>
                </pic:pic>
              </a:graphicData>
            </a:graphic>
          </wp:inline>
        </w:drawing>
      </w:r>
    </w:p>
    <w:p w:rsidR="00E73CE4" w:rsidRPr="009B5456" w:rsidRDefault="00E73CE4" w:rsidP="00E73CE4">
      <w:pPr>
        <w:pStyle w:val="a3"/>
        <w:ind w:firstLine="0"/>
        <w:rPr>
          <w:sz w:val="24"/>
          <w:szCs w:val="24"/>
        </w:rPr>
      </w:pPr>
      <w:r w:rsidRPr="009B5456">
        <w:rPr>
          <w:sz w:val="24"/>
          <w:szCs w:val="24"/>
        </w:rPr>
        <w:t>Российская Федерация</w:t>
      </w:r>
    </w:p>
    <w:p w:rsidR="00E73CE4" w:rsidRPr="009B5456" w:rsidRDefault="00E73CE4" w:rsidP="00E73CE4">
      <w:pPr>
        <w:pStyle w:val="a3"/>
        <w:ind w:firstLine="0"/>
        <w:rPr>
          <w:sz w:val="24"/>
          <w:szCs w:val="24"/>
        </w:rPr>
      </w:pPr>
      <w:r w:rsidRPr="009B5456">
        <w:rPr>
          <w:sz w:val="24"/>
          <w:szCs w:val="24"/>
        </w:rPr>
        <w:t>Республика Карелия</w:t>
      </w:r>
    </w:p>
    <w:p w:rsidR="00E73CE4" w:rsidRDefault="00E73CE4" w:rsidP="00E73CE4">
      <w:pPr>
        <w:pStyle w:val="3"/>
        <w:rPr>
          <w:color w:val="auto"/>
          <w:sz w:val="24"/>
        </w:rPr>
      </w:pPr>
    </w:p>
    <w:p w:rsidR="00E73CE4" w:rsidRPr="009B5456" w:rsidRDefault="00E73CE4" w:rsidP="00E73CE4">
      <w:pPr>
        <w:pStyle w:val="3"/>
        <w:rPr>
          <w:color w:val="auto"/>
          <w:sz w:val="24"/>
        </w:rPr>
      </w:pPr>
      <w:r>
        <w:rPr>
          <w:color w:val="auto"/>
          <w:sz w:val="24"/>
        </w:rPr>
        <w:t>АДМИНИСТРАЦИЯ</w:t>
      </w:r>
    </w:p>
    <w:p w:rsidR="00E73CE4" w:rsidRPr="009B5456" w:rsidRDefault="00E73CE4" w:rsidP="00E73CE4">
      <w:pPr>
        <w:jc w:val="center"/>
        <w:rPr>
          <w:b/>
        </w:rPr>
      </w:pPr>
      <w:r w:rsidRPr="009B5456">
        <w:rPr>
          <w:b/>
        </w:rPr>
        <w:t>Беломорск</w:t>
      </w:r>
      <w:r>
        <w:rPr>
          <w:b/>
        </w:rPr>
        <w:t>ого</w:t>
      </w:r>
      <w:r w:rsidRPr="009B5456">
        <w:rPr>
          <w:b/>
        </w:rPr>
        <w:t xml:space="preserve"> муниципальн</w:t>
      </w:r>
      <w:r>
        <w:rPr>
          <w:b/>
        </w:rPr>
        <w:t>ого округа</w:t>
      </w:r>
    </w:p>
    <w:p w:rsidR="00E73CE4" w:rsidRDefault="00E73CE4" w:rsidP="00E73CE4">
      <w:pPr>
        <w:jc w:val="center"/>
        <w:rPr>
          <w:b/>
          <w:bCs/>
        </w:rPr>
      </w:pPr>
    </w:p>
    <w:p w:rsidR="00E73CE4" w:rsidRPr="009B5456" w:rsidRDefault="00E73CE4" w:rsidP="00E73CE4">
      <w:pPr>
        <w:jc w:val="center"/>
        <w:rPr>
          <w:b/>
          <w:bCs/>
        </w:rPr>
      </w:pPr>
      <w:r w:rsidRPr="009B5456">
        <w:rPr>
          <w:b/>
          <w:bCs/>
        </w:rPr>
        <w:t>П О С Т А Н О В Л Е Н И Е</w:t>
      </w:r>
    </w:p>
    <w:p w:rsidR="00E73CE4" w:rsidRDefault="00E73CE4" w:rsidP="00E73CE4">
      <w:pPr>
        <w:jc w:val="center"/>
        <w:rPr>
          <w:b/>
          <w:bCs/>
        </w:rPr>
      </w:pPr>
    </w:p>
    <w:p w:rsidR="00E73CE4" w:rsidRPr="003518D2" w:rsidRDefault="00E73CE4" w:rsidP="00E73CE4">
      <w:pPr>
        <w:jc w:val="center"/>
        <w:rPr>
          <w:b/>
          <w:bCs/>
        </w:rPr>
      </w:pPr>
      <w:r w:rsidRPr="00152EF0">
        <w:rPr>
          <w:b/>
          <w:bCs/>
        </w:rPr>
        <w:t xml:space="preserve">от </w:t>
      </w:r>
      <w:r w:rsidR="00796711">
        <w:rPr>
          <w:b/>
          <w:bCs/>
        </w:rPr>
        <w:t>3</w:t>
      </w:r>
      <w:r w:rsidR="001D5EA3">
        <w:rPr>
          <w:b/>
          <w:bCs/>
        </w:rPr>
        <w:t>апреля</w:t>
      </w:r>
      <w:r w:rsidRPr="00152EF0">
        <w:rPr>
          <w:b/>
          <w:bCs/>
        </w:rPr>
        <w:t xml:space="preserve"> 202</w:t>
      </w:r>
      <w:r>
        <w:rPr>
          <w:b/>
          <w:bCs/>
        </w:rPr>
        <w:t>4</w:t>
      </w:r>
      <w:r w:rsidRPr="00152EF0">
        <w:rPr>
          <w:b/>
          <w:bCs/>
        </w:rPr>
        <w:t xml:space="preserve"> г. № </w:t>
      </w:r>
      <w:r w:rsidR="00796711">
        <w:rPr>
          <w:b/>
          <w:bCs/>
        </w:rPr>
        <w:t>324</w:t>
      </w:r>
    </w:p>
    <w:p w:rsidR="00E73CE4" w:rsidRPr="009B5456" w:rsidRDefault="00E73CE4" w:rsidP="00E73CE4">
      <w:pPr>
        <w:jc w:val="center"/>
        <w:rPr>
          <w:b/>
          <w:bCs/>
        </w:rPr>
      </w:pPr>
      <w:r w:rsidRPr="009B5456">
        <w:rPr>
          <w:b/>
          <w:bCs/>
        </w:rPr>
        <w:t>г. Беломорск</w:t>
      </w:r>
    </w:p>
    <w:p w:rsidR="00E73CE4" w:rsidRDefault="00E73CE4" w:rsidP="00E73CE4">
      <w:pPr>
        <w:pStyle w:val="ConsPlusTitle"/>
        <w:widowControl/>
        <w:jc w:val="center"/>
        <w:rPr>
          <w:rFonts w:ascii="Times New Roman" w:hAnsi="Times New Roman" w:cs="Times New Roman"/>
          <w:b w:val="0"/>
          <w:sz w:val="26"/>
          <w:szCs w:val="26"/>
        </w:rPr>
      </w:pPr>
    </w:p>
    <w:p w:rsidR="00E73CE4" w:rsidRPr="00962017" w:rsidRDefault="00E73CE4" w:rsidP="00E73CE4">
      <w:pPr>
        <w:pStyle w:val="ConsPlusNormal"/>
        <w:jc w:val="center"/>
        <w:rPr>
          <w:rFonts w:ascii="Times New Roman" w:hAnsi="Times New Roman" w:cs="Times New Roman"/>
          <w:b/>
          <w:sz w:val="24"/>
          <w:szCs w:val="24"/>
        </w:rPr>
      </w:pPr>
      <w:bookmarkStart w:id="0" w:name="_Hlk106181801"/>
      <w:r w:rsidRPr="00962017">
        <w:rPr>
          <w:rFonts w:ascii="Times New Roman" w:hAnsi="Times New Roman" w:cs="Times New Roman"/>
          <w:b/>
          <w:sz w:val="24"/>
          <w:szCs w:val="24"/>
        </w:rPr>
        <w:t xml:space="preserve">Об утверждении </w:t>
      </w:r>
      <w:r w:rsidRPr="00962017">
        <w:rPr>
          <w:rFonts w:ascii="Times New Roman" w:hAnsi="Times New Roman" w:cs="Times New Roman"/>
          <w:b/>
          <w:bCs/>
          <w:kern w:val="36"/>
          <w:sz w:val="24"/>
          <w:szCs w:val="24"/>
        </w:rPr>
        <w:t xml:space="preserve">Порядка осуществления претензионной и исковой работы с просроченной дебиторской задолженностью главными администраторами (администраторами) доходов бюджета </w:t>
      </w:r>
      <w:r w:rsidRPr="00962017">
        <w:rPr>
          <w:rFonts w:ascii="Times New Roman" w:hAnsi="Times New Roman" w:cs="Times New Roman"/>
          <w:b/>
          <w:sz w:val="24"/>
          <w:szCs w:val="24"/>
        </w:rPr>
        <w:t>Б</w:t>
      </w:r>
      <w:r w:rsidRPr="00962017">
        <w:rPr>
          <w:rFonts w:ascii="Times New Roman" w:hAnsi="Times New Roman" w:cs="Times New Roman"/>
          <w:b/>
          <w:bCs/>
          <w:sz w:val="24"/>
          <w:szCs w:val="24"/>
        </w:rPr>
        <w:t>еломорского муниципального округа Республики Карелия</w:t>
      </w:r>
    </w:p>
    <w:p w:rsidR="00E73CE4" w:rsidRDefault="00E73CE4" w:rsidP="00E73CE4">
      <w:pPr>
        <w:autoSpaceDE w:val="0"/>
        <w:autoSpaceDN w:val="0"/>
        <w:adjustRightInd w:val="0"/>
        <w:jc w:val="center"/>
        <w:rPr>
          <w:b/>
          <w:bCs/>
        </w:rPr>
      </w:pPr>
    </w:p>
    <w:bookmarkEnd w:id="0"/>
    <w:p w:rsidR="00E73CE4" w:rsidRDefault="00E73CE4" w:rsidP="00E73CE4">
      <w:pPr>
        <w:autoSpaceDE w:val="0"/>
        <w:autoSpaceDN w:val="0"/>
        <w:adjustRightInd w:val="0"/>
        <w:spacing w:line="276" w:lineRule="auto"/>
        <w:ind w:firstLine="709"/>
        <w:jc w:val="both"/>
      </w:pPr>
      <w:r>
        <w:rPr>
          <w:rFonts w:eastAsiaTheme="minorHAnsi"/>
          <w:lang w:eastAsia="en-US"/>
        </w:rPr>
        <w:t xml:space="preserve">В соответствии со статьей 160.1 Бюджетного кодекса Российской Федерации, </w:t>
      </w:r>
      <w:r w:rsidRPr="00962017">
        <w:t xml:space="preserve">установленными обязательствами по сокращению задолженности, администрируемой </w:t>
      </w:r>
      <w:r>
        <w:t xml:space="preserve">администрацией Беломорского муниципального округа, и принятию </w:t>
      </w:r>
      <w:r w:rsidRPr="00962017">
        <w:t>своевременных мер по ее взысканию, руководствуясь Уставом</w:t>
      </w:r>
      <w:r>
        <w:t xml:space="preserve"> Беломорского муниципального округа Республики Карелия, </w:t>
      </w:r>
      <w:r w:rsidRPr="00990459">
        <w:t>администрация Беломорск</w:t>
      </w:r>
      <w:r>
        <w:t>ого</w:t>
      </w:r>
      <w:r w:rsidRPr="00990459">
        <w:t xml:space="preserve"> муниципальн</w:t>
      </w:r>
      <w:r>
        <w:t>ого округа</w:t>
      </w:r>
      <w:r w:rsidRPr="00990459">
        <w:t xml:space="preserve"> постановляет:</w:t>
      </w:r>
    </w:p>
    <w:p w:rsidR="00E73CE4" w:rsidRDefault="00E73CE4" w:rsidP="00E73CE4">
      <w:pPr>
        <w:spacing w:line="276" w:lineRule="auto"/>
        <w:ind w:firstLine="709"/>
        <w:jc w:val="both"/>
        <w:rPr>
          <w:bCs/>
          <w:kern w:val="36"/>
        </w:rPr>
      </w:pPr>
      <w:r w:rsidRPr="00A37153">
        <w:rPr>
          <w:rFonts w:eastAsiaTheme="minorHAnsi"/>
          <w:lang w:eastAsia="en-US"/>
        </w:rPr>
        <w:t xml:space="preserve">1. Утвердить прилагаемый </w:t>
      </w:r>
      <w:r w:rsidRPr="00A37153">
        <w:rPr>
          <w:bCs/>
          <w:kern w:val="36"/>
        </w:rPr>
        <w:t xml:space="preserve">Порядок осуществления претензионной и исковой работы с просроченной дебиторской задолженностью главными администраторами (администраторами) доходов бюджета </w:t>
      </w:r>
      <w:r>
        <w:rPr>
          <w:bCs/>
          <w:kern w:val="36"/>
        </w:rPr>
        <w:t>Беломорского муниципального</w:t>
      </w:r>
      <w:r w:rsidRPr="00A37153">
        <w:rPr>
          <w:bCs/>
          <w:kern w:val="36"/>
        </w:rPr>
        <w:t xml:space="preserve"> округа</w:t>
      </w:r>
      <w:r>
        <w:rPr>
          <w:bCs/>
          <w:kern w:val="36"/>
        </w:rPr>
        <w:t xml:space="preserve"> Республики Карелия</w:t>
      </w:r>
      <w:r w:rsidRPr="00A37153">
        <w:rPr>
          <w:bCs/>
          <w:kern w:val="36"/>
        </w:rPr>
        <w:t>.</w:t>
      </w:r>
    </w:p>
    <w:p w:rsidR="00E73CE4" w:rsidRPr="006922EA" w:rsidRDefault="00E73CE4" w:rsidP="00E73CE4">
      <w:pPr>
        <w:pStyle w:val="ConsPlusNormal"/>
        <w:widowControl/>
        <w:spacing w:line="276" w:lineRule="auto"/>
        <w:ind w:firstLine="709"/>
        <w:jc w:val="both"/>
        <w:rPr>
          <w:rFonts w:ascii="Times New Roman" w:hAnsi="Times New Roman" w:cs="Times New Roman"/>
          <w:bCs/>
          <w:sz w:val="24"/>
          <w:szCs w:val="24"/>
        </w:rPr>
      </w:pPr>
      <w:r w:rsidRPr="006922EA">
        <w:rPr>
          <w:rFonts w:ascii="Times New Roman" w:hAnsi="Times New Roman" w:cs="Times New Roman"/>
          <w:sz w:val="24"/>
          <w:szCs w:val="24"/>
        </w:rPr>
        <w:t xml:space="preserve">2. </w:t>
      </w:r>
      <w:r>
        <w:rPr>
          <w:rFonts w:ascii="Times New Roman" w:hAnsi="Times New Roman" w:cs="Times New Roman"/>
          <w:sz w:val="24"/>
          <w:szCs w:val="24"/>
        </w:rPr>
        <w:t>Р</w:t>
      </w:r>
      <w:r w:rsidRPr="006922EA">
        <w:rPr>
          <w:rFonts w:ascii="Times New Roman" w:hAnsi="Times New Roman" w:cs="Times New Roman"/>
          <w:sz w:val="24"/>
          <w:szCs w:val="24"/>
        </w:rPr>
        <w:t xml:space="preserve">азместить на официальном сайте </w:t>
      </w:r>
      <w:r w:rsidRPr="006922EA">
        <w:rPr>
          <w:rFonts w:ascii="Times New Roman" w:hAnsi="Times New Roman" w:cs="Times New Roman"/>
          <w:bCs/>
          <w:sz w:val="24"/>
          <w:szCs w:val="24"/>
        </w:rPr>
        <w:t>Беломорск</w:t>
      </w:r>
      <w:r w:rsidR="004D1DC4">
        <w:rPr>
          <w:rFonts w:ascii="Times New Roman" w:hAnsi="Times New Roman" w:cs="Times New Roman"/>
          <w:bCs/>
          <w:sz w:val="24"/>
          <w:szCs w:val="24"/>
        </w:rPr>
        <w:t>ого</w:t>
      </w:r>
      <w:r w:rsidRPr="006922EA">
        <w:rPr>
          <w:rFonts w:ascii="Times New Roman" w:hAnsi="Times New Roman" w:cs="Times New Roman"/>
          <w:bCs/>
          <w:sz w:val="24"/>
          <w:szCs w:val="24"/>
        </w:rPr>
        <w:t xml:space="preserve"> муниципальн</w:t>
      </w:r>
      <w:r w:rsidR="004D1DC4">
        <w:rPr>
          <w:rFonts w:ascii="Times New Roman" w:hAnsi="Times New Roman" w:cs="Times New Roman"/>
          <w:bCs/>
          <w:sz w:val="24"/>
          <w:szCs w:val="24"/>
        </w:rPr>
        <w:t>ого округа Республики Карелия</w:t>
      </w:r>
      <w:r w:rsidRPr="006922EA">
        <w:rPr>
          <w:rFonts w:ascii="Times New Roman" w:hAnsi="Times New Roman" w:cs="Times New Roman"/>
          <w:bCs/>
          <w:sz w:val="24"/>
          <w:szCs w:val="24"/>
        </w:rPr>
        <w:t xml:space="preserve"> в информационно-коммуникационной сети «Интернет».</w:t>
      </w:r>
    </w:p>
    <w:p w:rsidR="00E73CE4" w:rsidRDefault="00E73CE4" w:rsidP="00E73CE4">
      <w:pPr>
        <w:spacing w:line="276" w:lineRule="auto"/>
        <w:ind w:firstLine="709"/>
        <w:jc w:val="both"/>
      </w:pPr>
    </w:p>
    <w:p w:rsidR="00E73CE4" w:rsidRDefault="00E73CE4" w:rsidP="00E73CE4">
      <w:pPr>
        <w:spacing w:line="276" w:lineRule="auto"/>
        <w:ind w:firstLine="709"/>
        <w:jc w:val="both"/>
      </w:pPr>
    </w:p>
    <w:p w:rsidR="00E73CE4" w:rsidRDefault="0099255D" w:rsidP="00E73CE4">
      <w:pPr>
        <w:autoSpaceDE w:val="0"/>
        <w:autoSpaceDN w:val="0"/>
        <w:adjustRightInd w:val="0"/>
        <w:jc w:val="both"/>
      </w:pPr>
      <w:r>
        <w:t>И.о. г</w:t>
      </w:r>
      <w:r w:rsidR="00E73CE4" w:rsidRPr="00594A2A">
        <w:t>лав</w:t>
      </w:r>
      <w:r>
        <w:t>ы</w:t>
      </w:r>
      <w:r w:rsidR="00E73CE4">
        <w:t>Беломорского</w:t>
      </w:r>
    </w:p>
    <w:p w:rsidR="0099255D" w:rsidRDefault="0099255D" w:rsidP="0099255D">
      <w:pPr>
        <w:autoSpaceDE w:val="0"/>
        <w:autoSpaceDN w:val="0"/>
        <w:adjustRightInd w:val="0"/>
        <w:jc w:val="both"/>
      </w:pPr>
      <w:r>
        <w:t>м</w:t>
      </w:r>
      <w:r w:rsidR="00E73CE4">
        <w:t>униципального округа</w:t>
      </w:r>
      <w:bookmarkStart w:id="1" w:name="_GoBack"/>
      <w:bookmarkEnd w:id="1"/>
      <w:r>
        <w:t xml:space="preserve">   О.Я. Александрова</w:t>
      </w:r>
    </w:p>
    <w:p w:rsidR="00E73CE4" w:rsidRDefault="00E73CE4" w:rsidP="0099255D">
      <w:pPr>
        <w:autoSpaceDE w:val="0"/>
        <w:autoSpaceDN w:val="0"/>
        <w:adjustRightInd w:val="0"/>
        <w:jc w:val="both"/>
      </w:pPr>
      <w:r>
        <w:br w:type="page"/>
      </w:r>
    </w:p>
    <w:p w:rsidR="00E73CE4" w:rsidRPr="003C2A3E" w:rsidRDefault="00E73CE4" w:rsidP="00E73CE4">
      <w:pPr>
        <w:autoSpaceDE w:val="0"/>
        <w:autoSpaceDN w:val="0"/>
        <w:adjustRightInd w:val="0"/>
        <w:jc w:val="right"/>
        <w:outlineLvl w:val="0"/>
        <w:rPr>
          <w:rFonts w:eastAsiaTheme="minorHAnsi"/>
          <w:sz w:val="20"/>
          <w:szCs w:val="20"/>
          <w:lang w:eastAsia="en-US"/>
        </w:rPr>
      </w:pPr>
      <w:r w:rsidRPr="003C2A3E">
        <w:rPr>
          <w:rFonts w:eastAsiaTheme="minorHAnsi"/>
          <w:sz w:val="20"/>
          <w:szCs w:val="20"/>
          <w:lang w:eastAsia="en-US"/>
        </w:rPr>
        <w:lastRenderedPageBreak/>
        <w:t>Приложение</w:t>
      </w:r>
    </w:p>
    <w:p w:rsidR="00E73CE4" w:rsidRPr="003C2A3E" w:rsidRDefault="00E73CE4" w:rsidP="003C2A3E">
      <w:pPr>
        <w:autoSpaceDE w:val="0"/>
        <w:autoSpaceDN w:val="0"/>
        <w:adjustRightInd w:val="0"/>
        <w:jc w:val="right"/>
        <w:outlineLvl w:val="0"/>
        <w:rPr>
          <w:rFonts w:eastAsiaTheme="minorHAnsi"/>
          <w:sz w:val="20"/>
          <w:szCs w:val="20"/>
          <w:lang w:eastAsia="en-US"/>
        </w:rPr>
      </w:pPr>
      <w:r w:rsidRPr="003C2A3E">
        <w:rPr>
          <w:rFonts w:eastAsiaTheme="minorHAnsi"/>
          <w:sz w:val="20"/>
          <w:szCs w:val="20"/>
          <w:lang w:eastAsia="en-US"/>
        </w:rPr>
        <w:t>к постановлению</w:t>
      </w:r>
      <w:r w:rsidR="003C2A3E">
        <w:rPr>
          <w:rFonts w:eastAsiaTheme="minorHAnsi"/>
          <w:sz w:val="20"/>
          <w:szCs w:val="20"/>
          <w:lang w:eastAsia="en-US"/>
        </w:rPr>
        <w:t xml:space="preserve"> </w:t>
      </w:r>
      <w:r w:rsidRPr="003C2A3E">
        <w:rPr>
          <w:rFonts w:eastAsiaTheme="minorHAnsi"/>
          <w:sz w:val="20"/>
          <w:szCs w:val="20"/>
          <w:lang w:eastAsia="en-US"/>
        </w:rPr>
        <w:t>администрации</w:t>
      </w:r>
    </w:p>
    <w:p w:rsidR="00E73CE4" w:rsidRPr="003C2A3E" w:rsidRDefault="00E73CE4" w:rsidP="00E73CE4">
      <w:pPr>
        <w:autoSpaceDE w:val="0"/>
        <w:autoSpaceDN w:val="0"/>
        <w:adjustRightInd w:val="0"/>
        <w:jc w:val="right"/>
        <w:rPr>
          <w:rFonts w:eastAsiaTheme="minorHAnsi"/>
          <w:sz w:val="20"/>
          <w:szCs w:val="20"/>
          <w:lang w:eastAsia="en-US"/>
        </w:rPr>
      </w:pPr>
      <w:r w:rsidRPr="003C2A3E">
        <w:rPr>
          <w:rFonts w:eastAsiaTheme="minorHAnsi"/>
          <w:sz w:val="20"/>
          <w:szCs w:val="20"/>
          <w:lang w:eastAsia="en-US"/>
        </w:rPr>
        <w:t>Беломорского муниципального округа</w:t>
      </w:r>
    </w:p>
    <w:p w:rsidR="00E73CE4" w:rsidRPr="003C2A3E" w:rsidRDefault="00E73CE4" w:rsidP="00E73CE4">
      <w:pPr>
        <w:autoSpaceDE w:val="0"/>
        <w:autoSpaceDN w:val="0"/>
        <w:adjustRightInd w:val="0"/>
        <w:jc w:val="right"/>
        <w:rPr>
          <w:rFonts w:eastAsiaTheme="minorHAnsi"/>
          <w:sz w:val="20"/>
          <w:szCs w:val="20"/>
          <w:lang w:eastAsia="en-US"/>
        </w:rPr>
      </w:pPr>
      <w:r w:rsidRPr="003C2A3E">
        <w:rPr>
          <w:rFonts w:eastAsiaTheme="minorHAnsi"/>
          <w:sz w:val="20"/>
          <w:szCs w:val="20"/>
          <w:lang w:eastAsia="en-US"/>
        </w:rPr>
        <w:t>от 0</w:t>
      </w:r>
      <w:r w:rsidR="00796711" w:rsidRPr="003C2A3E">
        <w:rPr>
          <w:rFonts w:eastAsiaTheme="minorHAnsi"/>
          <w:sz w:val="20"/>
          <w:szCs w:val="20"/>
          <w:lang w:eastAsia="en-US"/>
        </w:rPr>
        <w:t>3</w:t>
      </w:r>
      <w:r w:rsidRPr="003C2A3E">
        <w:rPr>
          <w:rFonts w:eastAsiaTheme="minorHAnsi"/>
          <w:sz w:val="20"/>
          <w:szCs w:val="20"/>
          <w:lang w:eastAsia="en-US"/>
        </w:rPr>
        <w:t>.0</w:t>
      </w:r>
      <w:r w:rsidR="001D5EA3" w:rsidRPr="003C2A3E">
        <w:rPr>
          <w:rFonts w:eastAsiaTheme="minorHAnsi"/>
          <w:sz w:val="20"/>
          <w:szCs w:val="20"/>
          <w:lang w:eastAsia="en-US"/>
        </w:rPr>
        <w:t>4</w:t>
      </w:r>
      <w:r w:rsidRPr="003C2A3E">
        <w:rPr>
          <w:rFonts w:eastAsiaTheme="minorHAnsi"/>
          <w:sz w:val="20"/>
          <w:szCs w:val="20"/>
          <w:lang w:eastAsia="en-US"/>
        </w:rPr>
        <w:t xml:space="preserve">.2024г. № </w:t>
      </w:r>
      <w:r w:rsidR="00796711" w:rsidRPr="003C2A3E">
        <w:rPr>
          <w:rFonts w:eastAsiaTheme="minorHAnsi"/>
          <w:sz w:val="20"/>
          <w:szCs w:val="20"/>
          <w:lang w:eastAsia="en-US"/>
        </w:rPr>
        <w:t>324</w:t>
      </w:r>
    </w:p>
    <w:p w:rsidR="00E73CE4" w:rsidRDefault="00E73CE4" w:rsidP="00E73CE4">
      <w:pPr>
        <w:rPr>
          <w:rFonts w:eastAsiaTheme="minorHAnsi"/>
          <w:lang w:eastAsia="en-US"/>
        </w:rPr>
      </w:pPr>
    </w:p>
    <w:p w:rsidR="00E73CE4" w:rsidRDefault="00E73CE4" w:rsidP="00E73CE4">
      <w:pPr>
        <w:jc w:val="center"/>
        <w:rPr>
          <w:b/>
          <w:bCs/>
          <w:kern w:val="36"/>
        </w:rPr>
      </w:pPr>
      <w:r w:rsidRPr="00962017">
        <w:rPr>
          <w:b/>
          <w:bCs/>
          <w:kern w:val="36"/>
        </w:rPr>
        <w:t>Поряд</w:t>
      </w:r>
      <w:r>
        <w:rPr>
          <w:b/>
          <w:bCs/>
          <w:kern w:val="36"/>
        </w:rPr>
        <w:t>о</w:t>
      </w:r>
      <w:r w:rsidRPr="00962017">
        <w:rPr>
          <w:b/>
          <w:bCs/>
          <w:kern w:val="36"/>
        </w:rPr>
        <w:t>к</w:t>
      </w:r>
    </w:p>
    <w:p w:rsidR="00E73CE4" w:rsidRDefault="00E73CE4" w:rsidP="00E73CE4">
      <w:pPr>
        <w:jc w:val="center"/>
        <w:rPr>
          <w:b/>
          <w:bCs/>
        </w:rPr>
      </w:pPr>
      <w:r w:rsidRPr="00962017">
        <w:rPr>
          <w:b/>
          <w:bCs/>
          <w:kern w:val="36"/>
        </w:rPr>
        <w:t xml:space="preserve"> осуществления претензионной и исковой работы с просроченной дебиторской задолженностью главными администраторами (администраторами) доходов бюджета </w:t>
      </w:r>
      <w:r w:rsidRPr="00962017">
        <w:rPr>
          <w:b/>
        </w:rPr>
        <w:t>Б</w:t>
      </w:r>
      <w:r w:rsidRPr="00962017">
        <w:rPr>
          <w:b/>
          <w:bCs/>
        </w:rPr>
        <w:t>еломорского муниципального округа Республики Карелия</w:t>
      </w:r>
    </w:p>
    <w:p w:rsidR="00737213" w:rsidRDefault="00737213" w:rsidP="00737213">
      <w:pPr>
        <w:jc w:val="center"/>
        <w:rPr>
          <w:b/>
          <w:bCs/>
        </w:rPr>
      </w:pPr>
    </w:p>
    <w:p w:rsidR="00737213" w:rsidRDefault="00737213" w:rsidP="00737213">
      <w:pPr>
        <w:jc w:val="center"/>
        <w:rPr>
          <w:b/>
          <w:bCs/>
        </w:rPr>
      </w:pPr>
      <w:r>
        <w:rPr>
          <w:b/>
          <w:bCs/>
        </w:rPr>
        <w:t>1. Общие положения</w:t>
      </w:r>
    </w:p>
    <w:p w:rsidR="00120C92" w:rsidRDefault="00737213" w:rsidP="00737213">
      <w:pPr>
        <w:spacing w:before="120" w:line="276" w:lineRule="auto"/>
        <w:ind w:firstLine="709"/>
        <w:jc w:val="both"/>
      </w:pPr>
      <w:r>
        <w:t xml:space="preserve">1. </w:t>
      </w:r>
      <w:r w:rsidRPr="00E93B30">
        <w:t xml:space="preserve">Настоящий Порядок устанавливает порядок работы главных администраторов (администраторов) доходов бюджета </w:t>
      </w:r>
      <w:r>
        <w:t xml:space="preserve">Беломорского муниципального </w:t>
      </w:r>
      <w:r w:rsidRPr="00E93B30">
        <w:t xml:space="preserve">округа </w:t>
      </w:r>
      <w:r>
        <w:t xml:space="preserve">Республики Карелия </w:t>
      </w:r>
      <w:r w:rsidRPr="00E93B30">
        <w:t xml:space="preserve">(далее – </w:t>
      </w:r>
      <w:r>
        <w:t>а</w:t>
      </w:r>
      <w:r w:rsidRPr="00E93B30">
        <w:t>дминистраторы доходов) при осуществлении претензионной и исковой работы с просроченной дебиторской задолженностью</w:t>
      </w:r>
      <w:r>
        <w:t>.</w:t>
      </w:r>
    </w:p>
    <w:p w:rsidR="00737213" w:rsidRDefault="00737213" w:rsidP="00737213">
      <w:pPr>
        <w:pStyle w:val="Default"/>
        <w:spacing w:line="276" w:lineRule="auto"/>
        <w:ind w:firstLine="709"/>
        <w:jc w:val="both"/>
      </w:pPr>
      <w:r w:rsidRPr="00EB3475">
        <w:t>2. В целях настоящего Порядка используются следующие основные понятия:</w:t>
      </w:r>
    </w:p>
    <w:p w:rsidR="00737213" w:rsidRPr="00EB3475" w:rsidRDefault="00737213" w:rsidP="00737213">
      <w:pPr>
        <w:pStyle w:val="Default"/>
        <w:spacing w:line="276" w:lineRule="auto"/>
        <w:ind w:firstLine="709"/>
        <w:jc w:val="both"/>
      </w:pPr>
      <w:r w:rsidRPr="00EB3475">
        <w:t xml:space="preserve">1) деятельность по взысканию просроченной задолженности (взыскание) - юридические и фактические действия, совершаемые администраторами доходов, и направленные на погашение должником просроченной дебиторской задолженности; </w:t>
      </w:r>
    </w:p>
    <w:p w:rsidR="00737213" w:rsidRDefault="00737213" w:rsidP="00737213">
      <w:pPr>
        <w:spacing w:line="276" w:lineRule="auto"/>
        <w:ind w:firstLine="709"/>
        <w:jc w:val="both"/>
      </w:pPr>
      <w:r w:rsidRPr="00EB3475">
        <w:t>2) 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субсидиарно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737213" w:rsidRDefault="00737213" w:rsidP="00737213">
      <w:pPr>
        <w:spacing w:line="276" w:lineRule="auto"/>
        <w:ind w:firstLine="709"/>
        <w:jc w:val="both"/>
      </w:pPr>
      <w:r w:rsidRPr="00EB3475">
        <w:t>3) просроченная дебиторская задолженность - суммарный объем не исполненных должником в установленный срок денежных обязательств;</w:t>
      </w:r>
    </w:p>
    <w:p w:rsidR="00737213" w:rsidRDefault="00737213" w:rsidP="00737213">
      <w:pPr>
        <w:spacing w:line="276" w:lineRule="auto"/>
        <w:ind w:firstLine="709"/>
        <w:jc w:val="both"/>
      </w:pPr>
      <w:r w:rsidRPr="00EB3475">
        <w:t xml:space="preserve">4) подразделение-исполнитель </w:t>
      </w:r>
      <w:r w:rsidR="00690217">
        <w:t>–отдел администрации Беломорского муниципального округа (далее – администрация)</w:t>
      </w:r>
      <w:r w:rsidRPr="00EB3475">
        <w:t xml:space="preserve">, муниципальное казенное учреждение, </w:t>
      </w:r>
      <w:r w:rsidR="00690217">
        <w:t xml:space="preserve">подведомственное администрации, </w:t>
      </w:r>
      <w:r w:rsidRPr="00EB3475">
        <w:t>инициировавшее заключение договора (соглашения) либо отвечающее за осуществление расчетов с контрагентами в соответствии со своей компетенцией;</w:t>
      </w:r>
    </w:p>
    <w:p w:rsidR="00737213" w:rsidRDefault="00737213" w:rsidP="00737213">
      <w:pPr>
        <w:spacing w:line="276" w:lineRule="auto"/>
        <w:ind w:firstLine="709"/>
        <w:jc w:val="both"/>
      </w:pPr>
      <w:r w:rsidRPr="00EB3475">
        <w:t xml:space="preserve">5) ответственное лицо (ответственный) - лицо, назначаемое руководителем </w:t>
      </w:r>
      <w:r w:rsidRPr="00AD67DB">
        <w:t>подразделения-исполнителя для совершения определенной операции.</w:t>
      </w:r>
    </w:p>
    <w:p w:rsidR="00737213" w:rsidRPr="00E02A25" w:rsidRDefault="00737213" w:rsidP="00737213">
      <w:pPr>
        <w:spacing w:line="276" w:lineRule="auto"/>
        <w:ind w:firstLine="709"/>
        <w:jc w:val="both"/>
      </w:pPr>
      <w:r w:rsidRPr="00EB3475">
        <w:t xml:space="preserve">3. В целях минимизации объемов просроченной дебиторской задолженности </w:t>
      </w:r>
      <w:r>
        <w:t>а</w:t>
      </w:r>
      <w:r w:rsidRPr="00E02A25">
        <w:t>дминистраторы доходов осуществляют оперативный контроль (мониторинг) за состоянием просроченной задолженности, инвентаризацию просроченной задолженности.</w:t>
      </w:r>
    </w:p>
    <w:p w:rsidR="00737213" w:rsidRPr="00E02A25" w:rsidRDefault="00737213" w:rsidP="00737213">
      <w:pPr>
        <w:pStyle w:val="ConsPlusNormal"/>
        <w:spacing w:line="276" w:lineRule="auto"/>
        <w:ind w:firstLine="709"/>
        <w:jc w:val="both"/>
        <w:rPr>
          <w:rFonts w:ascii="Times New Roman" w:hAnsi="Times New Roman" w:cs="Times New Roman"/>
          <w:sz w:val="24"/>
          <w:szCs w:val="24"/>
        </w:rPr>
      </w:pPr>
      <w:r w:rsidRPr="00E02A25">
        <w:rPr>
          <w:rFonts w:ascii="Times New Roman" w:hAnsi="Times New Roman" w:cs="Times New Roman"/>
          <w:sz w:val="24"/>
          <w:szCs w:val="24"/>
        </w:rPr>
        <w:t xml:space="preserve">4. Инвентаризация просроченной дебиторской задолженности проводится администраторами доходов бюджета в целях выявления признаков сомнительной задолженности либо безнадежной к взысканию. Инвентаризация проводится ответственными лицами подразделения – исполнителя в срок до </w:t>
      </w:r>
      <w:r>
        <w:rPr>
          <w:rFonts w:ascii="Times New Roman" w:hAnsi="Times New Roman" w:cs="Times New Roman"/>
          <w:sz w:val="24"/>
          <w:szCs w:val="24"/>
        </w:rPr>
        <w:t>10</w:t>
      </w:r>
      <w:r w:rsidRPr="00E02A25">
        <w:rPr>
          <w:rFonts w:ascii="Times New Roman" w:hAnsi="Times New Roman" w:cs="Times New Roman"/>
          <w:sz w:val="24"/>
          <w:szCs w:val="24"/>
        </w:rPr>
        <w:t xml:space="preserve"> числа месяца, следующего за отчетным кварталом.</w:t>
      </w:r>
    </w:p>
    <w:p w:rsidR="006E6CA1" w:rsidRPr="002674B6" w:rsidRDefault="006E6CA1" w:rsidP="006E6CA1">
      <w:pPr>
        <w:pStyle w:val="ConsPlusNormal"/>
        <w:spacing w:line="276" w:lineRule="auto"/>
        <w:ind w:firstLine="709"/>
        <w:jc w:val="both"/>
        <w:rPr>
          <w:rFonts w:ascii="Times New Roman" w:hAnsi="Times New Roman" w:cs="Times New Roman"/>
          <w:sz w:val="24"/>
          <w:szCs w:val="24"/>
        </w:rPr>
      </w:pPr>
      <w:r w:rsidRPr="002674B6">
        <w:rPr>
          <w:rFonts w:ascii="Times New Roman" w:hAnsi="Times New Roman" w:cs="Times New Roman"/>
          <w:sz w:val="24"/>
          <w:szCs w:val="24"/>
        </w:rPr>
        <w:t>5. При наличии объективных обстоятельств, на основании коллегиального решения уполномоченной комиссии, должнику может быть предоставлена рассрочка по уплате просроченной дебиторской задолженности.</w:t>
      </w:r>
    </w:p>
    <w:p w:rsidR="006E6CA1" w:rsidRPr="002674B6" w:rsidRDefault="006E6CA1" w:rsidP="006E6CA1">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2674B6">
        <w:rPr>
          <w:rFonts w:ascii="Times New Roman" w:hAnsi="Times New Roman" w:cs="Times New Roman"/>
          <w:sz w:val="24"/>
          <w:szCs w:val="24"/>
        </w:rPr>
        <w:t>. Работа с просроченной дебиторской задолженностью осуществляется в три этапа:</w:t>
      </w:r>
    </w:p>
    <w:p w:rsidR="006E6CA1" w:rsidRPr="002674B6" w:rsidRDefault="006E6CA1" w:rsidP="006E6CA1">
      <w:pPr>
        <w:pStyle w:val="ConsPlusNormal"/>
        <w:spacing w:line="276" w:lineRule="auto"/>
        <w:ind w:firstLine="709"/>
        <w:jc w:val="both"/>
        <w:rPr>
          <w:rFonts w:ascii="Times New Roman" w:hAnsi="Times New Roman" w:cs="Times New Roman"/>
          <w:sz w:val="24"/>
          <w:szCs w:val="24"/>
        </w:rPr>
      </w:pPr>
      <w:r w:rsidRPr="002674B6">
        <w:rPr>
          <w:rFonts w:ascii="Times New Roman" w:hAnsi="Times New Roman" w:cs="Times New Roman"/>
          <w:sz w:val="24"/>
          <w:szCs w:val="24"/>
        </w:rPr>
        <w:t>а) претензионный (досудебный) этап;</w:t>
      </w:r>
    </w:p>
    <w:p w:rsidR="006E6CA1" w:rsidRPr="002674B6" w:rsidRDefault="006E6CA1" w:rsidP="006E6CA1">
      <w:pPr>
        <w:pStyle w:val="ConsPlusNormal"/>
        <w:spacing w:line="276" w:lineRule="auto"/>
        <w:ind w:firstLine="709"/>
        <w:jc w:val="both"/>
        <w:rPr>
          <w:rFonts w:ascii="Times New Roman" w:hAnsi="Times New Roman" w:cs="Times New Roman"/>
          <w:sz w:val="24"/>
          <w:szCs w:val="24"/>
        </w:rPr>
      </w:pPr>
      <w:r w:rsidRPr="002674B6">
        <w:rPr>
          <w:rFonts w:ascii="Times New Roman" w:hAnsi="Times New Roman" w:cs="Times New Roman"/>
          <w:sz w:val="24"/>
          <w:szCs w:val="24"/>
        </w:rPr>
        <w:t>б) исковой (судебный) этап;</w:t>
      </w:r>
    </w:p>
    <w:p w:rsidR="006E6CA1" w:rsidRPr="002674B6" w:rsidRDefault="006E6CA1" w:rsidP="006E6CA1">
      <w:pPr>
        <w:pStyle w:val="ConsPlusNormal"/>
        <w:spacing w:line="276" w:lineRule="auto"/>
        <w:ind w:firstLine="709"/>
        <w:jc w:val="both"/>
        <w:rPr>
          <w:rFonts w:ascii="Times New Roman" w:hAnsi="Times New Roman" w:cs="Times New Roman"/>
          <w:sz w:val="24"/>
          <w:szCs w:val="24"/>
        </w:rPr>
      </w:pPr>
      <w:r w:rsidRPr="002674B6">
        <w:rPr>
          <w:rFonts w:ascii="Times New Roman" w:hAnsi="Times New Roman" w:cs="Times New Roman"/>
          <w:sz w:val="24"/>
          <w:szCs w:val="24"/>
        </w:rPr>
        <w:t>в) принудительное исполнение судебного акта.</w:t>
      </w:r>
    </w:p>
    <w:p w:rsidR="003C2A3E" w:rsidRDefault="003C2A3E" w:rsidP="006E6CA1">
      <w:pPr>
        <w:pStyle w:val="ConsPlusNormal"/>
        <w:spacing w:line="276" w:lineRule="auto"/>
        <w:ind w:firstLine="709"/>
        <w:jc w:val="both"/>
        <w:rPr>
          <w:rFonts w:ascii="Times New Roman" w:hAnsi="Times New Roman" w:cs="Times New Roman"/>
          <w:sz w:val="24"/>
          <w:szCs w:val="24"/>
        </w:rPr>
      </w:pPr>
    </w:p>
    <w:p w:rsidR="006E6CA1" w:rsidRPr="002674B6" w:rsidRDefault="006E6CA1" w:rsidP="006E6CA1">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2674B6">
        <w:rPr>
          <w:rFonts w:ascii="Times New Roman" w:hAnsi="Times New Roman" w:cs="Times New Roman"/>
          <w:sz w:val="24"/>
          <w:szCs w:val="24"/>
        </w:rPr>
        <w:t xml:space="preserve">. Контроль за осуществлением претензионной и исковой работы осуществляет руководитель подразделения-исполнителя, руководитель </w:t>
      </w:r>
      <w:r>
        <w:rPr>
          <w:rFonts w:ascii="Times New Roman" w:hAnsi="Times New Roman" w:cs="Times New Roman"/>
          <w:sz w:val="24"/>
          <w:szCs w:val="24"/>
        </w:rPr>
        <w:t>учреждения</w:t>
      </w:r>
      <w:r w:rsidRPr="002674B6">
        <w:rPr>
          <w:rFonts w:ascii="Times New Roman" w:hAnsi="Times New Roman" w:cs="Times New Roman"/>
          <w:sz w:val="24"/>
          <w:szCs w:val="24"/>
        </w:rPr>
        <w:t>, отвечающего за ведение исковой работы, работы по принудительному исполнению судебного акта.</w:t>
      </w:r>
    </w:p>
    <w:p w:rsidR="00F81C12" w:rsidRDefault="00F81C12" w:rsidP="00F81C12">
      <w:pPr>
        <w:spacing w:before="120" w:line="276" w:lineRule="auto"/>
        <w:jc w:val="center"/>
        <w:rPr>
          <w:b/>
          <w:bCs/>
        </w:rPr>
      </w:pPr>
      <w:r>
        <w:rPr>
          <w:b/>
          <w:bCs/>
        </w:rPr>
        <w:t>2. Порядок ведения претензионной работы</w:t>
      </w:r>
    </w:p>
    <w:p w:rsidR="00F81C12" w:rsidRPr="00F81C12" w:rsidRDefault="00F81C12" w:rsidP="00F81C12">
      <w:pPr>
        <w:pStyle w:val="ConsPlusNormal"/>
        <w:spacing w:before="120" w:line="276" w:lineRule="auto"/>
        <w:ind w:firstLine="709"/>
        <w:jc w:val="both"/>
        <w:rPr>
          <w:rFonts w:ascii="Times New Roman" w:hAnsi="Times New Roman" w:cs="Times New Roman"/>
          <w:sz w:val="24"/>
          <w:szCs w:val="24"/>
        </w:rPr>
      </w:pPr>
      <w:r w:rsidRPr="00F81C12">
        <w:rPr>
          <w:rFonts w:ascii="Times New Roman" w:hAnsi="Times New Roman" w:cs="Times New Roman"/>
          <w:sz w:val="24"/>
          <w:szCs w:val="24"/>
        </w:rPr>
        <w:t>7. Ответственное лицо проводит претензионную работу в отношении должника.</w:t>
      </w:r>
    </w:p>
    <w:p w:rsidR="00F81C12" w:rsidRPr="00F81C12" w:rsidRDefault="003D3C2F" w:rsidP="00F81C1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81C12" w:rsidRPr="00F81C12">
        <w:rPr>
          <w:rFonts w:ascii="Times New Roman" w:hAnsi="Times New Roman" w:cs="Times New Roman"/>
          <w:sz w:val="24"/>
          <w:szCs w:val="24"/>
        </w:rPr>
        <w:t>Претензии должны предъявляться всем должникам без исключения, вне зависимости от суммы просроченной дебиторской задолженности.</w:t>
      </w:r>
    </w:p>
    <w:p w:rsidR="00F81C12" w:rsidRDefault="00F81C12" w:rsidP="00F81C12">
      <w:pPr>
        <w:pStyle w:val="ConsPlusNormal"/>
        <w:spacing w:line="276" w:lineRule="auto"/>
        <w:ind w:firstLine="709"/>
        <w:jc w:val="both"/>
        <w:rPr>
          <w:rFonts w:ascii="Times New Roman" w:hAnsi="Times New Roman" w:cs="Times New Roman"/>
          <w:sz w:val="24"/>
          <w:szCs w:val="24"/>
        </w:rPr>
      </w:pPr>
      <w:r w:rsidRPr="00F81C12">
        <w:rPr>
          <w:rFonts w:ascii="Times New Roman" w:hAnsi="Times New Roman" w:cs="Times New Roman"/>
          <w:sz w:val="24"/>
          <w:szCs w:val="24"/>
        </w:rPr>
        <w:t>В случае, если направление претензий не предусмотрено условиями договора (соглашения, контракта, решения)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3D3C2F" w:rsidRPr="00F81C12" w:rsidRDefault="003D3C2F" w:rsidP="00F81C12">
      <w:pPr>
        <w:pStyle w:val="ConsPlusNormal"/>
        <w:spacing w:line="276" w:lineRule="auto"/>
        <w:ind w:firstLine="709"/>
        <w:jc w:val="both"/>
        <w:rPr>
          <w:rFonts w:ascii="Times New Roman" w:hAnsi="Times New Roman" w:cs="Times New Roman"/>
          <w:sz w:val="24"/>
          <w:szCs w:val="24"/>
        </w:rPr>
      </w:pPr>
      <w:r w:rsidRPr="00EF52B3">
        <w:rPr>
          <w:rFonts w:ascii="Times New Roman" w:hAnsi="Times New Roman" w:cs="Times New Roman"/>
          <w:sz w:val="24"/>
          <w:szCs w:val="24"/>
        </w:rPr>
        <w:t>Претензия должна быть составлена в письменной форме в 2 экземплярах: один остается в подразделении-исполнителе, второй передается должнику.</w:t>
      </w:r>
    </w:p>
    <w:p w:rsidR="00F81C12" w:rsidRPr="00F81C12" w:rsidRDefault="003D3C2F" w:rsidP="00F81C12">
      <w:pPr>
        <w:pStyle w:val="ConsPlusNormal"/>
        <w:spacing w:line="276"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9. </w:t>
      </w:r>
      <w:r w:rsidR="00F81C12" w:rsidRPr="00F81C12">
        <w:rPr>
          <w:rFonts w:ascii="Times New Roman" w:hAnsi="Times New Roman" w:cs="Times New Roman"/>
          <w:sz w:val="24"/>
          <w:szCs w:val="24"/>
        </w:rPr>
        <w:t>В отношении задолженности, образовавшейся по решениям о размещении нестационарных торговых объектов</w:t>
      </w:r>
      <w:r w:rsidR="00F81C12">
        <w:rPr>
          <w:rFonts w:ascii="Times New Roman" w:hAnsi="Times New Roman" w:cs="Times New Roman"/>
          <w:sz w:val="24"/>
          <w:szCs w:val="24"/>
        </w:rPr>
        <w:t>,</w:t>
      </w:r>
      <w:r w:rsidR="00F81C12" w:rsidRPr="00F81C12">
        <w:rPr>
          <w:rFonts w:ascii="Times New Roman" w:hAnsi="Times New Roman" w:cs="Times New Roman"/>
          <w:sz w:val="24"/>
          <w:szCs w:val="24"/>
        </w:rPr>
        <w:t xml:space="preserve">ответственное лицо в течение 2 месяцев предпринимает исчерпывающие меры для погашения должником образовавшейся задолженности путем </w:t>
      </w:r>
      <w:r w:rsidR="00A061AB">
        <w:rPr>
          <w:rFonts w:ascii="Times New Roman" w:hAnsi="Times New Roman" w:cs="Times New Roman"/>
          <w:sz w:val="24"/>
          <w:szCs w:val="24"/>
        </w:rPr>
        <w:t xml:space="preserve">его </w:t>
      </w:r>
      <w:r w:rsidR="00F81C12" w:rsidRPr="00F81C12">
        <w:rPr>
          <w:rFonts w:ascii="Times New Roman" w:hAnsi="Times New Roman" w:cs="Times New Roman"/>
          <w:sz w:val="24"/>
          <w:szCs w:val="24"/>
        </w:rPr>
        <w:t>уведомления посредством телефонной связи, по адресу электронной почты, а также при личном приеме о наличии задолженности с требованием ее погашения в кратчайшие сроки. В том случае, если должником не будет погашена образовавшаяся задолженность, ответственное лицо проводит претензионную работу в отношении должника в срок не позднее двух месяцев с момента образования задолженности.</w:t>
      </w:r>
    </w:p>
    <w:p w:rsidR="00F81C12" w:rsidRPr="003D3C2F" w:rsidRDefault="003D3C2F" w:rsidP="003D3C2F">
      <w:pPr>
        <w:pStyle w:val="ConsPlusNormal"/>
        <w:spacing w:line="276" w:lineRule="auto"/>
        <w:ind w:firstLine="709"/>
        <w:jc w:val="both"/>
        <w:rPr>
          <w:rFonts w:ascii="Times New Roman" w:hAnsi="Times New Roman" w:cs="Times New Roman"/>
          <w:sz w:val="24"/>
          <w:szCs w:val="24"/>
        </w:rPr>
      </w:pPr>
      <w:r w:rsidRPr="003D3C2F">
        <w:rPr>
          <w:rFonts w:ascii="Times New Roman" w:hAnsi="Times New Roman" w:cs="Times New Roman"/>
          <w:sz w:val="24"/>
          <w:szCs w:val="24"/>
        </w:rPr>
        <w:t>10</w:t>
      </w:r>
      <w:r w:rsidR="00F81C12" w:rsidRPr="003D3C2F">
        <w:rPr>
          <w:rFonts w:ascii="Times New Roman" w:hAnsi="Times New Roman" w:cs="Times New Roman"/>
          <w:sz w:val="24"/>
          <w:szCs w:val="24"/>
        </w:rPr>
        <w:t>.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и месту нахождения, указанному в Едином государственном реестре юридических лиц на момент подготовки претензии.</w:t>
      </w:r>
    </w:p>
    <w:p w:rsidR="00F81C12" w:rsidRPr="003D3C2F" w:rsidRDefault="00F81C12" w:rsidP="003D3C2F">
      <w:pPr>
        <w:pStyle w:val="ConsPlusNormal"/>
        <w:spacing w:line="276" w:lineRule="auto"/>
        <w:ind w:firstLine="709"/>
        <w:jc w:val="both"/>
        <w:rPr>
          <w:rFonts w:ascii="Times New Roman" w:hAnsi="Times New Roman" w:cs="Times New Roman"/>
          <w:sz w:val="24"/>
          <w:szCs w:val="24"/>
        </w:rPr>
      </w:pPr>
      <w:r w:rsidRPr="003D3C2F">
        <w:rPr>
          <w:rFonts w:ascii="Times New Roman" w:hAnsi="Times New Roman" w:cs="Times New Roman"/>
          <w:sz w:val="24"/>
          <w:szCs w:val="24"/>
        </w:rPr>
        <w:t>Претензия и прилагаемые к ней документы передаются нарочным под роспись или направляются по почте с уведомлением о вручении, чтобы располагать доказательствами предъявления претензии.</w:t>
      </w:r>
    </w:p>
    <w:p w:rsidR="00F81C12" w:rsidRPr="00A061AB" w:rsidRDefault="00F81C12" w:rsidP="00A061AB">
      <w:pPr>
        <w:pStyle w:val="ConsPlusNormal"/>
        <w:spacing w:line="276" w:lineRule="auto"/>
        <w:ind w:firstLine="709"/>
        <w:jc w:val="both"/>
        <w:rPr>
          <w:rFonts w:ascii="Times New Roman" w:hAnsi="Times New Roman" w:cs="Times New Roman"/>
          <w:sz w:val="24"/>
          <w:szCs w:val="24"/>
        </w:rPr>
      </w:pPr>
      <w:r w:rsidRPr="00A061AB">
        <w:rPr>
          <w:rFonts w:ascii="Times New Roman" w:hAnsi="Times New Roman" w:cs="Times New Roman"/>
          <w:sz w:val="24"/>
          <w:szCs w:val="24"/>
        </w:rPr>
        <w:t>В случае, если договором, контрактом, решением предусмотрена отправка претензий по адресу электронной почты, указанной в таком договоре, контракте, решении, претензия и прилагаемые к ней документы направляются по электронной почте с применением технической возможности, позволяющей располагать в дальнейшем доказательствами предъявления и получения такой претензии.</w:t>
      </w:r>
    </w:p>
    <w:p w:rsidR="00680BE0" w:rsidRPr="00257B71" w:rsidRDefault="00680BE0"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257B71">
        <w:rPr>
          <w:rFonts w:ascii="Times New Roman" w:hAnsi="Times New Roman" w:cs="Times New Roman"/>
          <w:sz w:val="24"/>
          <w:szCs w:val="24"/>
        </w:rPr>
        <w:t>. Претензия должна содержать следующие данные:</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80BE0" w:rsidRPr="00257B71">
        <w:rPr>
          <w:rFonts w:ascii="Times New Roman" w:hAnsi="Times New Roman" w:cs="Times New Roman"/>
          <w:sz w:val="24"/>
          <w:szCs w:val="24"/>
        </w:rPr>
        <w:t>) дату и место ее составления;</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80BE0" w:rsidRPr="00257B71">
        <w:rPr>
          <w:rFonts w:ascii="Times New Roman" w:hAnsi="Times New Roman" w:cs="Times New Roman"/>
          <w:sz w:val="24"/>
          <w:szCs w:val="24"/>
        </w:rPr>
        <w:t>) наименование юридического лица (фамилию, имя, отчество (при наличии) индивидуального предпринимателя, физического лица) должника, адрес должника в соответствии с условиями договора;</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80BE0" w:rsidRPr="00257B71">
        <w:rPr>
          <w:rFonts w:ascii="Times New Roman" w:hAnsi="Times New Roman" w:cs="Times New Roman"/>
          <w:sz w:val="24"/>
          <w:szCs w:val="24"/>
        </w:rPr>
        <w:t>) реквизиты договора, на основании которого возникло требование;</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80BE0" w:rsidRPr="00257B71">
        <w:rPr>
          <w:rFonts w:ascii="Times New Roman" w:hAnsi="Times New Roman" w:cs="Times New Roman"/>
          <w:sz w:val="24"/>
          <w:szCs w:val="24"/>
        </w:rPr>
        <w:t>) краткое описание обстоятельств, послуживших основанием для подачи претензии;</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80BE0" w:rsidRPr="00257B71">
        <w:rPr>
          <w:rFonts w:ascii="Times New Roman" w:hAnsi="Times New Roman" w:cs="Times New Roman"/>
          <w:sz w:val="24"/>
          <w:szCs w:val="24"/>
        </w:rPr>
        <w:t>) обоснование, расчет и сумму претензии по каждому требованию;</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80BE0" w:rsidRPr="00257B71">
        <w:rPr>
          <w:rFonts w:ascii="Times New Roman" w:hAnsi="Times New Roman" w:cs="Times New Roman"/>
          <w:sz w:val="24"/>
          <w:szCs w:val="24"/>
        </w:rPr>
        <w:t>) срок исполнения требования, изложенного в претензии;</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80BE0" w:rsidRPr="00257B71">
        <w:rPr>
          <w:rFonts w:ascii="Times New Roman" w:hAnsi="Times New Roman" w:cs="Times New Roman"/>
          <w:sz w:val="24"/>
          <w:szCs w:val="24"/>
        </w:rPr>
        <w:t>) перечень прилагаемых документов, подтверждающих обстоятельства, изложенные в претензии;</w:t>
      </w:r>
    </w:p>
    <w:p w:rsidR="00680BE0" w:rsidRPr="00257B71" w:rsidRDefault="0075167A" w:rsidP="00680BE0">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80BE0" w:rsidRPr="00257B71">
        <w:rPr>
          <w:rFonts w:ascii="Times New Roman" w:hAnsi="Times New Roman" w:cs="Times New Roman"/>
          <w:sz w:val="24"/>
          <w:szCs w:val="24"/>
        </w:rPr>
        <w:t>) Ф.И.О. и должность лица, подготовившего претензию;</w:t>
      </w:r>
    </w:p>
    <w:p w:rsidR="00680BE0" w:rsidRPr="00445C0D" w:rsidRDefault="0075167A" w:rsidP="00445C0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680BE0" w:rsidRPr="00445C0D">
        <w:rPr>
          <w:rFonts w:ascii="Times New Roman" w:hAnsi="Times New Roman" w:cs="Times New Roman"/>
          <w:sz w:val="24"/>
          <w:szCs w:val="24"/>
        </w:rPr>
        <w:t>) Ф.И.О. и должность лица, которое ее подписывает.</w:t>
      </w:r>
    </w:p>
    <w:p w:rsidR="003C2A3E" w:rsidRDefault="003C2A3E" w:rsidP="00445C0D">
      <w:pPr>
        <w:autoSpaceDE w:val="0"/>
        <w:autoSpaceDN w:val="0"/>
        <w:adjustRightInd w:val="0"/>
        <w:spacing w:before="120" w:line="276" w:lineRule="auto"/>
        <w:jc w:val="center"/>
        <w:rPr>
          <w:rFonts w:eastAsiaTheme="minorHAnsi"/>
          <w:b/>
          <w:bCs/>
          <w:color w:val="000000"/>
          <w:lang w:eastAsia="en-US"/>
        </w:rPr>
      </w:pPr>
    </w:p>
    <w:p w:rsidR="00445C0D" w:rsidRPr="00445C0D" w:rsidRDefault="00445C0D" w:rsidP="00445C0D">
      <w:pPr>
        <w:autoSpaceDE w:val="0"/>
        <w:autoSpaceDN w:val="0"/>
        <w:adjustRightInd w:val="0"/>
        <w:spacing w:before="120" w:line="276" w:lineRule="auto"/>
        <w:jc w:val="center"/>
        <w:rPr>
          <w:rFonts w:eastAsiaTheme="minorHAnsi"/>
          <w:color w:val="000000"/>
          <w:lang w:eastAsia="en-US"/>
        </w:rPr>
      </w:pPr>
      <w:r>
        <w:rPr>
          <w:rFonts w:eastAsiaTheme="minorHAnsi"/>
          <w:b/>
          <w:bCs/>
          <w:color w:val="000000"/>
          <w:lang w:eastAsia="en-US"/>
        </w:rPr>
        <w:t>3. Порядок ведения исковой работы</w:t>
      </w:r>
    </w:p>
    <w:p w:rsidR="00737213" w:rsidRDefault="00445C0D" w:rsidP="00445C0D">
      <w:pPr>
        <w:spacing w:before="120" w:line="276" w:lineRule="auto"/>
        <w:ind w:firstLine="709"/>
        <w:jc w:val="both"/>
        <w:rPr>
          <w:rFonts w:eastAsiaTheme="minorHAnsi"/>
          <w:color w:val="000000"/>
          <w:lang w:eastAsia="en-US"/>
        </w:rPr>
      </w:pPr>
      <w:r w:rsidRPr="00445C0D">
        <w:rPr>
          <w:rFonts w:eastAsiaTheme="minorHAnsi"/>
          <w:color w:val="000000"/>
          <w:lang w:eastAsia="en-US"/>
        </w:rPr>
        <w:t>12. В случае если должник не исполнил заявленные в претензии требования в указанный в ней срок, просроченная дебиторская задолженность подлежит взысканию в судебном порядке.</w:t>
      </w:r>
    </w:p>
    <w:p w:rsidR="00445C0D" w:rsidRPr="00445C0D" w:rsidRDefault="00445C0D" w:rsidP="00445C0D">
      <w:pPr>
        <w:pStyle w:val="ConsPlusNormal"/>
        <w:spacing w:line="276" w:lineRule="auto"/>
        <w:ind w:firstLine="709"/>
        <w:jc w:val="both"/>
        <w:rPr>
          <w:rFonts w:ascii="Times New Roman" w:hAnsi="Times New Roman" w:cs="Times New Roman"/>
          <w:sz w:val="24"/>
          <w:szCs w:val="24"/>
        </w:rPr>
      </w:pPr>
      <w:r w:rsidRPr="00445C0D">
        <w:rPr>
          <w:rFonts w:ascii="Times New Roman" w:hAnsi="Times New Roman" w:cs="Times New Roman"/>
          <w:sz w:val="24"/>
          <w:szCs w:val="24"/>
        </w:rPr>
        <w:t xml:space="preserve">13. Ответственное лицо в течение 5 рабочих дней с даты получения полного (частичного) отказа должника от исполнения заявленных в претензии требований или отсутствия ответа на претензию в указанный в ней срок, определяет достаточность документов для подготовки иска и в течение </w:t>
      </w:r>
      <w:r>
        <w:rPr>
          <w:rFonts w:ascii="Times New Roman" w:hAnsi="Times New Roman" w:cs="Times New Roman"/>
          <w:sz w:val="24"/>
          <w:szCs w:val="24"/>
        </w:rPr>
        <w:t>1</w:t>
      </w:r>
      <w:r w:rsidRPr="00445C0D">
        <w:rPr>
          <w:rFonts w:ascii="Times New Roman" w:hAnsi="Times New Roman" w:cs="Times New Roman"/>
          <w:sz w:val="24"/>
          <w:szCs w:val="24"/>
        </w:rPr>
        <w:t>0 рабочих дней осуществляет подготовк</w:t>
      </w:r>
      <w:r w:rsidR="00122728">
        <w:rPr>
          <w:rFonts w:ascii="Times New Roman" w:hAnsi="Times New Roman" w:cs="Times New Roman"/>
          <w:sz w:val="24"/>
          <w:szCs w:val="24"/>
        </w:rPr>
        <w:t>у</w:t>
      </w:r>
      <w:r w:rsidRPr="00445C0D">
        <w:rPr>
          <w:rFonts w:ascii="Times New Roman" w:hAnsi="Times New Roman" w:cs="Times New Roman"/>
          <w:sz w:val="24"/>
          <w:szCs w:val="24"/>
        </w:rPr>
        <w:t xml:space="preserve"> соответствующего иск</w:t>
      </w:r>
      <w:r w:rsidR="00122728">
        <w:rPr>
          <w:rFonts w:ascii="Times New Roman" w:hAnsi="Times New Roman" w:cs="Times New Roman"/>
          <w:sz w:val="24"/>
          <w:szCs w:val="24"/>
        </w:rPr>
        <w:t xml:space="preserve">ового заявления </w:t>
      </w:r>
      <w:r w:rsidRPr="00445C0D">
        <w:rPr>
          <w:rFonts w:ascii="Times New Roman" w:hAnsi="Times New Roman" w:cs="Times New Roman"/>
          <w:sz w:val="24"/>
          <w:szCs w:val="24"/>
        </w:rPr>
        <w:t>в суд.</w:t>
      </w:r>
    </w:p>
    <w:p w:rsidR="00445C0D" w:rsidRPr="00445C0D" w:rsidRDefault="00445C0D" w:rsidP="00445C0D">
      <w:pPr>
        <w:pStyle w:val="ConsPlusNormal"/>
        <w:spacing w:line="276" w:lineRule="auto"/>
        <w:ind w:firstLine="709"/>
        <w:jc w:val="both"/>
        <w:rPr>
          <w:rFonts w:ascii="Times New Roman" w:hAnsi="Times New Roman" w:cs="Times New Roman"/>
          <w:sz w:val="24"/>
          <w:szCs w:val="24"/>
        </w:rPr>
      </w:pPr>
      <w:r w:rsidRPr="00445C0D">
        <w:rPr>
          <w:rFonts w:ascii="Times New Roman" w:hAnsi="Times New Roman" w:cs="Times New Roman"/>
          <w:sz w:val="24"/>
          <w:szCs w:val="24"/>
        </w:rPr>
        <w:t>Перечень документов для подготовки иск</w:t>
      </w:r>
      <w:r w:rsidR="00122728">
        <w:rPr>
          <w:rFonts w:ascii="Times New Roman" w:hAnsi="Times New Roman" w:cs="Times New Roman"/>
          <w:sz w:val="24"/>
          <w:szCs w:val="24"/>
        </w:rPr>
        <w:t>ового заявления</w:t>
      </w:r>
      <w:r w:rsidRPr="00445C0D">
        <w:rPr>
          <w:rFonts w:ascii="Times New Roman" w:hAnsi="Times New Roman" w:cs="Times New Roman"/>
          <w:sz w:val="24"/>
          <w:szCs w:val="24"/>
        </w:rPr>
        <w:t>:</w:t>
      </w:r>
    </w:p>
    <w:p w:rsidR="00445C0D" w:rsidRPr="00445C0D" w:rsidRDefault="0075167A" w:rsidP="00445C0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445C0D" w:rsidRPr="00445C0D">
        <w:rPr>
          <w:rFonts w:ascii="Times New Roman" w:hAnsi="Times New Roman" w:cs="Times New Roman"/>
          <w:sz w:val="24"/>
          <w:szCs w:val="24"/>
        </w:rPr>
        <w:t>) документы, подтверждающие обстоятельства, на которых основываются требования к должнику;</w:t>
      </w:r>
    </w:p>
    <w:p w:rsidR="00445C0D" w:rsidRPr="00445C0D" w:rsidRDefault="0075167A" w:rsidP="00445C0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45C0D" w:rsidRPr="00445C0D">
        <w:rPr>
          <w:rFonts w:ascii="Times New Roman" w:hAnsi="Times New Roman" w:cs="Times New Roman"/>
          <w:sz w:val="24"/>
          <w:szCs w:val="24"/>
        </w:rPr>
        <w:t>) расчет взыскиваемой или оспариваемой денежной суммы (основной долг, пени, неустойка, проценты);</w:t>
      </w:r>
    </w:p>
    <w:p w:rsidR="00445C0D" w:rsidRPr="00445C0D" w:rsidRDefault="0075167A" w:rsidP="00445C0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45C0D" w:rsidRPr="00445C0D">
        <w:rPr>
          <w:rFonts w:ascii="Times New Roman" w:hAnsi="Times New Roman" w:cs="Times New Roman"/>
          <w:sz w:val="24"/>
          <w:szCs w:val="24"/>
        </w:rPr>
        <w:t>) копии направленных должнику претензий с доказательствами такого направления (реестр почтовых отправлений, иное доказательство в случае отправки претензии по электронной почте). При этом следует учитывать, что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C20C70" w:rsidRPr="00C20C70" w:rsidRDefault="0075167A" w:rsidP="00122728">
      <w:pPr>
        <w:spacing w:line="276" w:lineRule="auto"/>
        <w:ind w:firstLine="709"/>
        <w:jc w:val="both"/>
      </w:pPr>
      <w:r w:rsidRPr="00122728">
        <w:t>1</w:t>
      </w:r>
      <w:r w:rsidR="00122728">
        <w:t>4</w:t>
      </w:r>
      <w:r w:rsidRPr="00122728">
        <w:t xml:space="preserve">. 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w:t>
      </w:r>
      <w:r w:rsidR="00C20C70" w:rsidRPr="00C20C70">
        <w:t>15</w:t>
      </w:r>
      <w:r w:rsidRPr="00C20C70">
        <w:t xml:space="preserve"> рабочих дней со дня </w:t>
      </w:r>
      <w:r w:rsidR="00C20C70" w:rsidRPr="00C20C70">
        <w:t>истечения срока, указанного в претензии о необходимости исполнения обязательств и погашения просроченной дебиторской задолженности.</w:t>
      </w:r>
    </w:p>
    <w:p w:rsidR="0075167A" w:rsidRDefault="0075167A" w:rsidP="00122728">
      <w:pPr>
        <w:spacing w:line="276" w:lineRule="auto"/>
        <w:ind w:firstLine="709"/>
        <w:jc w:val="both"/>
      </w:pPr>
      <w:r w:rsidRPr="00122728">
        <w:t>1</w:t>
      </w:r>
      <w:r w:rsidR="00C20C70">
        <w:t>5</w:t>
      </w:r>
      <w:r w:rsidRPr="00122728">
        <w:t xml:space="preserve">. 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w:t>
      </w:r>
      <w:r w:rsidR="00C20C70">
        <w:t xml:space="preserve">получает </w:t>
      </w:r>
      <w:r w:rsidRPr="00122728">
        <w:t>исполнительн</w:t>
      </w:r>
      <w:r w:rsidR="00C20C70">
        <w:t>ый</w:t>
      </w:r>
      <w:r w:rsidRPr="00122728">
        <w:t xml:space="preserve"> документ.</w:t>
      </w:r>
    </w:p>
    <w:p w:rsidR="003C2A3E" w:rsidRDefault="003C2A3E" w:rsidP="00FD007F">
      <w:pPr>
        <w:spacing w:before="120" w:line="276" w:lineRule="auto"/>
        <w:jc w:val="center"/>
        <w:rPr>
          <w:b/>
        </w:rPr>
      </w:pPr>
    </w:p>
    <w:p w:rsidR="00FD007F" w:rsidRPr="00FD007F" w:rsidRDefault="00FD007F" w:rsidP="00FD007F">
      <w:pPr>
        <w:spacing w:before="120" w:line="276" w:lineRule="auto"/>
        <w:jc w:val="center"/>
        <w:rPr>
          <w:b/>
        </w:rPr>
      </w:pPr>
      <w:r>
        <w:rPr>
          <w:b/>
        </w:rPr>
        <w:t xml:space="preserve">4. </w:t>
      </w:r>
      <w:r w:rsidRPr="00FD007F">
        <w:rPr>
          <w:b/>
        </w:rPr>
        <w:t>Работа по своевременному исполнению судебных актов</w:t>
      </w:r>
    </w:p>
    <w:p w:rsidR="00FD007F" w:rsidRPr="00FD007F" w:rsidRDefault="00FD007F" w:rsidP="00FD007F">
      <w:pPr>
        <w:spacing w:before="120" w:line="276" w:lineRule="auto"/>
        <w:ind w:firstLine="709"/>
        <w:jc w:val="both"/>
      </w:pPr>
      <w:r w:rsidRPr="00FD007F">
        <w:t>16. Ответственное лицо в течение 5 рабочих дней со дня получения исполнительного листа направляет его в территориальный орган Федеральной службы судебных приставов (далее – служба судебных приставов).</w:t>
      </w:r>
    </w:p>
    <w:p w:rsidR="00B64280" w:rsidRDefault="00FD007F" w:rsidP="00FD007F">
      <w:pPr>
        <w:spacing w:line="276" w:lineRule="auto"/>
        <w:ind w:firstLine="709"/>
        <w:jc w:val="both"/>
      </w:pPr>
      <w:r w:rsidRPr="00FD007F">
        <w:t>17. В случае значительной суммы задолженности и наличия информации о принадлежащих должнику объектах недвижимости, ответственное лицо инициирует рассмотрение вопроса о принятия обеспечительных мер в целях исполнения судебного акта и наложении запрета должнику на проведение отчуждения недвижимого имущества.</w:t>
      </w:r>
    </w:p>
    <w:p w:rsidR="00FD007F" w:rsidRDefault="00FD007F" w:rsidP="00FD007F">
      <w:pPr>
        <w:spacing w:line="276" w:lineRule="auto"/>
        <w:ind w:firstLine="709"/>
        <w:jc w:val="both"/>
      </w:pPr>
      <w:r w:rsidRPr="00FD007F">
        <w:t>18. Ответственное лицо ведет учет исполнительных документов, осуществляет мониторинг ведения исполнительного производства и контроль за их исполнением, проводит ежеквартальную сверку результатов исполнительных производств с</w:t>
      </w:r>
      <w:r w:rsidR="00924B49">
        <w:t>о</w:t>
      </w:r>
      <w:r w:rsidRPr="00FD007F">
        <w:t xml:space="preserve"> служб</w:t>
      </w:r>
      <w:r w:rsidR="00924B49">
        <w:t>ой</w:t>
      </w:r>
      <w:r w:rsidRPr="00FD007F">
        <w:t xml:space="preserve"> судебных приставов.</w:t>
      </w:r>
    </w:p>
    <w:p w:rsidR="00445C0D" w:rsidRDefault="00FD007F" w:rsidP="00FD007F">
      <w:pPr>
        <w:spacing w:line="276" w:lineRule="auto"/>
        <w:ind w:firstLine="709"/>
        <w:jc w:val="both"/>
      </w:pPr>
      <w:r w:rsidRPr="00FD007F">
        <w:t>19. 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3C2A3E" w:rsidRDefault="003C2A3E" w:rsidP="00924B49">
      <w:pPr>
        <w:pStyle w:val="ConsPlusTitle"/>
        <w:spacing w:before="120" w:line="276" w:lineRule="auto"/>
        <w:jc w:val="center"/>
        <w:rPr>
          <w:rFonts w:ascii="Times New Roman" w:hAnsi="Times New Roman" w:cs="Times New Roman"/>
          <w:sz w:val="24"/>
          <w:szCs w:val="24"/>
        </w:rPr>
      </w:pPr>
    </w:p>
    <w:p w:rsidR="003C2A3E" w:rsidRDefault="003C2A3E" w:rsidP="00924B49">
      <w:pPr>
        <w:pStyle w:val="ConsPlusTitle"/>
        <w:spacing w:before="120" w:line="276" w:lineRule="auto"/>
        <w:jc w:val="center"/>
        <w:rPr>
          <w:rFonts w:ascii="Times New Roman" w:hAnsi="Times New Roman" w:cs="Times New Roman"/>
          <w:sz w:val="24"/>
          <w:szCs w:val="24"/>
        </w:rPr>
      </w:pPr>
    </w:p>
    <w:p w:rsidR="00924B49" w:rsidRPr="00924B49" w:rsidRDefault="00924B49" w:rsidP="00924B49">
      <w:pPr>
        <w:pStyle w:val="ConsPlusTitle"/>
        <w:spacing w:before="120" w:line="276" w:lineRule="auto"/>
        <w:jc w:val="center"/>
        <w:rPr>
          <w:rFonts w:ascii="Times New Roman" w:hAnsi="Times New Roman" w:cs="Times New Roman"/>
          <w:sz w:val="24"/>
          <w:szCs w:val="24"/>
        </w:rPr>
      </w:pPr>
      <w:r w:rsidRPr="00924B49">
        <w:rPr>
          <w:rFonts w:ascii="Times New Roman" w:hAnsi="Times New Roman" w:cs="Times New Roman"/>
          <w:sz w:val="24"/>
          <w:szCs w:val="24"/>
        </w:rPr>
        <w:t>5. Отчетность о проведении претензионной и исковой работы</w:t>
      </w:r>
    </w:p>
    <w:p w:rsidR="00E253B7" w:rsidRDefault="00924B49" w:rsidP="00A86BB3">
      <w:pPr>
        <w:pStyle w:val="Default"/>
        <w:spacing w:before="120" w:line="276" w:lineRule="auto"/>
        <w:ind w:firstLine="709"/>
        <w:jc w:val="both"/>
      </w:pPr>
      <w:r w:rsidRPr="00690217">
        <w:t xml:space="preserve">20. </w:t>
      </w:r>
      <w:r w:rsidR="00690217" w:rsidRPr="00690217">
        <w:t xml:space="preserve">Администраторы доходов бюджета </w:t>
      </w:r>
      <w:r w:rsidR="000167FA">
        <w:t xml:space="preserve">ежемесячно </w:t>
      </w:r>
      <w:r w:rsidR="00690217" w:rsidRPr="00690217">
        <w:t xml:space="preserve">до </w:t>
      </w:r>
      <w:r w:rsidR="000167FA">
        <w:t>10</w:t>
      </w:r>
      <w:r w:rsidR="00690217" w:rsidRPr="00690217">
        <w:t xml:space="preserve"> числа месяца, следующего за отчетным, представляют в </w:t>
      </w:r>
      <w:r w:rsidR="000167FA">
        <w:t xml:space="preserve">финансово-экономическое управление администрации оперативную информацию о </w:t>
      </w:r>
      <w:r w:rsidR="000167FA" w:rsidRPr="00690217">
        <w:t xml:space="preserve">состоянии и взыскании задолженности </w:t>
      </w:r>
      <w:r w:rsidR="000167FA">
        <w:t xml:space="preserve">по доходам от сдачи в аренду имущества, включая земельные участки, собственность на которые не разграничена </w:t>
      </w:r>
      <w:r w:rsidR="00AF12D2" w:rsidRPr="00AF12D2">
        <w:t>по форме, установленной Министерством финансов Республики Карелия</w:t>
      </w:r>
      <w:r w:rsidR="00AF12D2">
        <w:t>. Е</w:t>
      </w:r>
      <w:r w:rsidR="000167FA" w:rsidRPr="00A86BB3">
        <w:t xml:space="preserve">жеквартально до 10 числа месяца, следующего за истекшим кварталом, </w:t>
      </w:r>
      <w:r w:rsidR="00A86BB3" w:rsidRPr="00A86BB3">
        <w:t xml:space="preserve">Отчет о проведенной претензионной и исковой работе в разрезе крупных должников согласно Приложению </w:t>
      </w:r>
      <w:r w:rsidR="00AF12D2">
        <w:t>1</w:t>
      </w:r>
      <w:r w:rsidR="00A86BB3" w:rsidRPr="00A86BB3">
        <w:t xml:space="preserve"> к настоящему </w:t>
      </w:r>
      <w:r w:rsidR="00A86BB3">
        <w:t>П</w:t>
      </w:r>
      <w:r w:rsidR="00A86BB3" w:rsidRPr="00A86BB3">
        <w:t>орядку</w:t>
      </w:r>
      <w:r w:rsidR="00A86BB3">
        <w:t>.</w:t>
      </w:r>
    </w:p>
    <w:p w:rsidR="00084709" w:rsidRDefault="00084709">
      <w:pPr>
        <w:rPr>
          <w:rFonts w:ascii="Calibri" w:hAnsi="Calibri"/>
          <w:color w:val="000000"/>
          <w:sz w:val="22"/>
          <w:szCs w:val="22"/>
        </w:rPr>
      </w:pPr>
      <w:bookmarkStart w:id="2" w:name="RANGE!A6:AJ40"/>
    </w:p>
    <w:p w:rsidR="00084709" w:rsidRDefault="00084709">
      <w:pPr>
        <w:rPr>
          <w:rFonts w:ascii="Calibri" w:hAnsi="Calibri"/>
          <w:color w:val="000000"/>
          <w:sz w:val="22"/>
          <w:szCs w:val="22"/>
        </w:rPr>
        <w:sectPr w:rsidR="00084709" w:rsidSect="003C2A3E">
          <w:pgSz w:w="11906" w:h="16838"/>
          <w:pgMar w:top="397" w:right="851" w:bottom="567" w:left="1701" w:header="709" w:footer="709" w:gutter="0"/>
          <w:cols w:space="708"/>
          <w:docGrid w:linePitch="360"/>
        </w:sectPr>
      </w:pPr>
    </w:p>
    <w:bookmarkEnd w:id="2"/>
    <w:tbl>
      <w:tblPr>
        <w:tblW w:w="28286" w:type="dxa"/>
        <w:tblInd w:w="-709" w:type="dxa"/>
        <w:tblLook w:val="04A0"/>
      </w:tblPr>
      <w:tblGrid>
        <w:gridCol w:w="18466"/>
        <w:gridCol w:w="266"/>
        <w:gridCol w:w="266"/>
        <w:gridCol w:w="266"/>
        <w:gridCol w:w="266"/>
        <w:gridCol w:w="266"/>
        <w:gridCol w:w="266"/>
        <w:gridCol w:w="275"/>
        <w:gridCol w:w="266"/>
        <w:gridCol w:w="266"/>
        <w:gridCol w:w="266"/>
        <w:gridCol w:w="266"/>
        <w:gridCol w:w="266"/>
        <w:gridCol w:w="266"/>
        <w:gridCol w:w="266"/>
        <w:gridCol w:w="266"/>
        <w:gridCol w:w="266"/>
        <w:gridCol w:w="266"/>
        <w:gridCol w:w="266"/>
        <w:gridCol w:w="340"/>
        <w:gridCol w:w="266"/>
        <w:gridCol w:w="340"/>
        <w:gridCol w:w="340"/>
        <w:gridCol w:w="293"/>
        <w:gridCol w:w="293"/>
        <w:gridCol w:w="301"/>
        <w:gridCol w:w="307"/>
        <w:gridCol w:w="345"/>
        <w:gridCol w:w="319"/>
        <w:gridCol w:w="340"/>
        <w:gridCol w:w="337"/>
        <w:gridCol w:w="266"/>
        <w:gridCol w:w="266"/>
        <w:gridCol w:w="322"/>
        <w:gridCol w:w="348"/>
      </w:tblGrid>
      <w:tr w:rsidR="00084709" w:rsidTr="00084709">
        <w:trPr>
          <w:trHeight w:val="300"/>
        </w:trPr>
        <w:tc>
          <w:tcPr>
            <w:tcW w:w="18466" w:type="dxa"/>
            <w:tcBorders>
              <w:top w:val="nil"/>
              <w:left w:val="nil"/>
              <w:bottom w:val="nil"/>
              <w:right w:val="nil"/>
            </w:tcBorders>
            <w:shd w:val="clear" w:color="000000" w:fill="FFFFFF"/>
            <w:noWrap/>
            <w:vAlign w:val="center"/>
          </w:tcPr>
          <w:p w:rsidR="00084709" w:rsidRDefault="00084709" w:rsidP="002C2102">
            <w:pPr>
              <w:ind w:left="-392"/>
              <w:rPr>
                <w:rFonts w:ascii="Calibri" w:hAnsi="Calibri"/>
                <w:color w:val="000000"/>
              </w:rPr>
            </w:pP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75"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center"/>
            <w:hideMark/>
          </w:tcPr>
          <w:p w:rsidR="00084709" w:rsidRDefault="00084709">
            <w:pPr>
              <w:rPr>
                <w:rFonts w:ascii="Calibri" w:hAnsi="Calibri"/>
                <w:color w:val="000000"/>
              </w:rPr>
            </w:pPr>
            <w:r>
              <w:rPr>
                <w:rFonts w:ascii="Calibri" w:hAnsi="Calibri"/>
                <w:color w:val="000000"/>
                <w:sz w:val="22"/>
                <w:szCs w:val="22"/>
              </w:rPr>
              <w:t> </w:t>
            </w:r>
          </w:p>
        </w:tc>
        <w:tc>
          <w:tcPr>
            <w:tcW w:w="340"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40"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40"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293"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293"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01"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07"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45"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19"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40"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37"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266"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22"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c>
          <w:tcPr>
            <w:tcW w:w="348" w:type="dxa"/>
            <w:tcBorders>
              <w:top w:val="nil"/>
              <w:left w:val="nil"/>
              <w:bottom w:val="nil"/>
              <w:right w:val="nil"/>
            </w:tcBorders>
            <w:shd w:val="clear" w:color="000000" w:fill="FFFFFF"/>
            <w:noWrap/>
            <w:vAlign w:val="bottom"/>
            <w:hideMark/>
          </w:tcPr>
          <w:p w:rsidR="00084709" w:rsidRDefault="00084709">
            <w:pPr>
              <w:rPr>
                <w:rFonts w:ascii="Calibri" w:hAnsi="Calibri"/>
                <w:color w:val="000000"/>
              </w:rPr>
            </w:pPr>
            <w:r>
              <w:rPr>
                <w:rFonts w:ascii="Calibri" w:hAnsi="Calibri"/>
                <w:color w:val="000000"/>
                <w:sz w:val="22"/>
                <w:szCs w:val="22"/>
              </w:rPr>
              <w:t> </w:t>
            </w:r>
          </w:p>
        </w:tc>
      </w:tr>
    </w:tbl>
    <w:p w:rsidR="00A86BB3" w:rsidRPr="003C2A3E" w:rsidRDefault="00084709" w:rsidP="00084709">
      <w:pPr>
        <w:pStyle w:val="Default"/>
        <w:jc w:val="right"/>
        <w:rPr>
          <w:sz w:val="20"/>
          <w:szCs w:val="20"/>
        </w:rPr>
      </w:pPr>
      <w:r w:rsidRPr="003C2A3E">
        <w:rPr>
          <w:sz w:val="20"/>
          <w:szCs w:val="20"/>
        </w:rPr>
        <w:t>Приложение 1</w:t>
      </w:r>
    </w:p>
    <w:p w:rsidR="00084709" w:rsidRPr="003C2A3E" w:rsidRDefault="00084709" w:rsidP="00084709">
      <w:pPr>
        <w:pStyle w:val="Default"/>
        <w:jc w:val="right"/>
        <w:rPr>
          <w:bCs/>
          <w:kern w:val="36"/>
          <w:sz w:val="20"/>
          <w:szCs w:val="20"/>
        </w:rPr>
      </w:pPr>
      <w:r w:rsidRPr="003C2A3E">
        <w:rPr>
          <w:sz w:val="20"/>
          <w:szCs w:val="20"/>
        </w:rPr>
        <w:t xml:space="preserve">к Порядку </w:t>
      </w:r>
      <w:r w:rsidRPr="003C2A3E">
        <w:rPr>
          <w:bCs/>
          <w:kern w:val="36"/>
          <w:sz w:val="20"/>
          <w:szCs w:val="20"/>
        </w:rPr>
        <w:t xml:space="preserve">осуществления претензионной и исковой работы </w:t>
      </w:r>
    </w:p>
    <w:p w:rsidR="00084709" w:rsidRPr="003C2A3E" w:rsidRDefault="00084709" w:rsidP="00084709">
      <w:pPr>
        <w:pStyle w:val="Default"/>
        <w:jc w:val="right"/>
        <w:rPr>
          <w:bCs/>
          <w:kern w:val="36"/>
          <w:sz w:val="20"/>
          <w:szCs w:val="20"/>
        </w:rPr>
      </w:pPr>
      <w:r w:rsidRPr="003C2A3E">
        <w:rPr>
          <w:bCs/>
          <w:kern w:val="36"/>
          <w:sz w:val="20"/>
          <w:szCs w:val="20"/>
        </w:rPr>
        <w:t xml:space="preserve">с просроченной дебиторской задолженностью </w:t>
      </w:r>
    </w:p>
    <w:p w:rsidR="00084709" w:rsidRPr="003C2A3E" w:rsidRDefault="00084709" w:rsidP="00084709">
      <w:pPr>
        <w:pStyle w:val="Default"/>
        <w:jc w:val="right"/>
        <w:rPr>
          <w:bCs/>
          <w:kern w:val="36"/>
          <w:sz w:val="20"/>
          <w:szCs w:val="20"/>
        </w:rPr>
      </w:pPr>
      <w:r w:rsidRPr="003C2A3E">
        <w:rPr>
          <w:bCs/>
          <w:kern w:val="36"/>
          <w:sz w:val="20"/>
          <w:szCs w:val="20"/>
        </w:rPr>
        <w:t xml:space="preserve">главными администраторами (администраторами) доходов бюджета </w:t>
      </w:r>
    </w:p>
    <w:p w:rsidR="00084709" w:rsidRPr="003C2A3E" w:rsidRDefault="00084709" w:rsidP="00084709">
      <w:pPr>
        <w:pStyle w:val="Default"/>
        <w:jc w:val="right"/>
        <w:rPr>
          <w:bCs/>
          <w:kern w:val="36"/>
          <w:sz w:val="20"/>
          <w:szCs w:val="20"/>
        </w:rPr>
      </w:pPr>
      <w:r w:rsidRPr="003C2A3E">
        <w:rPr>
          <w:bCs/>
          <w:kern w:val="36"/>
          <w:sz w:val="20"/>
          <w:szCs w:val="20"/>
        </w:rPr>
        <w:t>Беломорского муниципального округа Республики Карелия,</w:t>
      </w:r>
    </w:p>
    <w:p w:rsidR="00084709" w:rsidRPr="003C2A3E" w:rsidRDefault="00084709" w:rsidP="00084709">
      <w:pPr>
        <w:pStyle w:val="Default"/>
        <w:jc w:val="right"/>
        <w:rPr>
          <w:bCs/>
          <w:kern w:val="36"/>
          <w:sz w:val="20"/>
          <w:szCs w:val="20"/>
        </w:rPr>
      </w:pPr>
      <w:r w:rsidRPr="003C2A3E">
        <w:rPr>
          <w:bCs/>
          <w:kern w:val="36"/>
          <w:sz w:val="20"/>
          <w:szCs w:val="20"/>
        </w:rPr>
        <w:t>утвержденному постановлением</w:t>
      </w:r>
    </w:p>
    <w:p w:rsidR="00084709" w:rsidRPr="003C2A3E" w:rsidRDefault="00084709" w:rsidP="00084709">
      <w:pPr>
        <w:pStyle w:val="Default"/>
        <w:jc w:val="right"/>
        <w:rPr>
          <w:bCs/>
          <w:kern w:val="36"/>
          <w:sz w:val="20"/>
          <w:szCs w:val="20"/>
        </w:rPr>
      </w:pPr>
      <w:r w:rsidRPr="003C2A3E">
        <w:rPr>
          <w:bCs/>
          <w:kern w:val="36"/>
          <w:sz w:val="20"/>
          <w:szCs w:val="20"/>
        </w:rPr>
        <w:t>администрации Беломорского муниципального округа</w:t>
      </w:r>
    </w:p>
    <w:p w:rsidR="006444EE" w:rsidRDefault="00796711" w:rsidP="00084709">
      <w:pPr>
        <w:pStyle w:val="Default"/>
        <w:jc w:val="right"/>
        <w:rPr>
          <w:bCs/>
          <w:kern w:val="36"/>
        </w:rPr>
      </w:pPr>
      <w:r w:rsidRPr="003C2A3E">
        <w:rPr>
          <w:bCs/>
          <w:kern w:val="36"/>
          <w:sz w:val="20"/>
          <w:szCs w:val="20"/>
        </w:rPr>
        <w:t>от 03</w:t>
      </w:r>
      <w:r w:rsidR="006444EE" w:rsidRPr="003C2A3E">
        <w:rPr>
          <w:bCs/>
          <w:kern w:val="36"/>
          <w:sz w:val="20"/>
          <w:szCs w:val="20"/>
        </w:rPr>
        <w:t>.0</w:t>
      </w:r>
      <w:r w:rsidR="001D5EA3" w:rsidRPr="003C2A3E">
        <w:rPr>
          <w:bCs/>
          <w:kern w:val="36"/>
          <w:sz w:val="20"/>
          <w:szCs w:val="20"/>
        </w:rPr>
        <w:t>4</w:t>
      </w:r>
      <w:r w:rsidR="006444EE" w:rsidRPr="003C2A3E">
        <w:rPr>
          <w:bCs/>
          <w:kern w:val="36"/>
          <w:sz w:val="20"/>
          <w:szCs w:val="20"/>
        </w:rPr>
        <w:t xml:space="preserve">.2024г. № </w:t>
      </w:r>
      <w:r w:rsidRPr="003C2A3E">
        <w:rPr>
          <w:bCs/>
          <w:kern w:val="36"/>
          <w:sz w:val="20"/>
          <w:szCs w:val="20"/>
        </w:rPr>
        <w:t>324</w:t>
      </w:r>
    </w:p>
    <w:p w:rsidR="006444EE" w:rsidRDefault="006444EE" w:rsidP="00084709">
      <w:pPr>
        <w:pStyle w:val="Default"/>
        <w:jc w:val="right"/>
        <w:rPr>
          <w:bCs/>
          <w:kern w:val="36"/>
        </w:rPr>
      </w:pPr>
    </w:p>
    <w:p w:rsidR="006444EE" w:rsidRDefault="006444EE" w:rsidP="006444EE">
      <w:pPr>
        <w:pStyle w:val="Default"/>
        <w:jc w:val="center"/>
      </w:pPr>
      <w:r w:rsidRPr="00A86BB3">
        <w:t>Отчет о проведенной претензионной и исковой работе в разрезе крупных должников</w:t>
      </w:r>
    </w:p>
    <w:p w:rsidR="006444EE" w:rsidRDefault="006444EE" w:rsidP="006444EE">
      <w:pPr>
        <w:pStyle w:val="Default"/>
        <w:jc w:val="center"/>
        <w:rPr>
          <w:sz w:val="22"/>
          <w:szCs w:val="22"/>
        </w:rPr>
      </w:pPr>
      <w:r>
        <w:t>по состоянию на ______________ 20___ года</w:t>
      </w:r>
    </w:p>
    <w:p w:rsidR="005D561C" w:rsidRDefault="005D561C" w:rsidP="006444EE">
      <w:pPr>
        <w:pStyle w:val="Default"/>
        <w:jc w:val="center"/>
        <w:rPr>
          <w:sz w:val="22"/>
          <w:szCs w:val="22"/>
        </w:rPr>
      </w:pPr>
    </w:p>
    <w:p w:rsidR="005D561C" w:rsidRDefault="005D561C" w:rsidP="005D561C">
      <w:pPr>
        <w:pStyle w:val="Default"/>
        <w:jc w:val="right"/>
        <w:rPr>
          <w:sz w:val="22"/>
          <w:szCs w:val="22"/>
        </w:rPr>
      </w:pPr>
      <w:r>
        <w:rPr>
          <w:sz w:val="22"/>
          <w:szCs w:val="22"/>
        </w:rPr>
        <w:t>тыс. рублей</w:t>
      </w:r>
    </w:p>
    <w:tbl>
      <w:tblPr>
        <w:tblStyle w:val="a6"/>
        <w:tblW w:w="0" w:type="auto"/>
        <w:tblLook w:val="04A0"/>
      </w:tblPr>
      <w:tblGrid>
        <w:gridCol w:w="303"/>
        <w:gridCol w:w="848"/>
        <w:gridCol w:w="420"/>
        <w:gridCol w:w="428"/>
        <w:gridCol w:w="933"/>
        <w:gridCol w:w="933"/>
        <w:gridCol w:w="815"/>
        <w:gridCol w:w="871"/>
        <w:gridCol w:w="680"/>
        <w:gridCol w:w="815"/>
        <w:gridCol w:w="871"/>
        <w:gridCol w:w="961"/>
        <w:gridCol w:w="961"/>
        <w:gridCol w:w="1032"/>
        <w:gridCol w:w="961"/>
        <w:gridCol w:w="961"/>
        <w:gridCol w:w="1032"/>
        <w:gridCol w:w="961"/>
      </w:tblGrid>
      <w:tr w:rsidR="00E4188D" w:rsidRPr="005D561C" w:rsidTr="005D561C">
        <w:tc>
          <w:tcPr>
            <w:tcW w:w="379" w:type="dxa"/>
            <w:vMerge w:val="restart"/>
          </w:tcPr>
          <w:p w:rsidR="005D561C" w:rsidRPr="005D561C" w:rsidRDefault="005D561C" w:rsidP="005D561C">
            <w:pPr>
              <w:pStyle w:val="Default"/>
              <w:ind w:left="-113"/>
              <w:jc w:val="center"/>
              <w:rPr>
                <w:sz w:val="20"/>
                <w:szCs w:val="20"/>
              </w:rPr>
            </w:pPr>
            <w:r>
              <w:rPr>
                <w:sz w:val="20"/>
                <w:szCs w:val="20"/>
              </w:rPr>
              <w:t>№ п/п</w:t>
            </w:r>
          </w:p>
        </w:tc>
        <w:tc>
          <w:tcPr>
            <w:tcW w:w="1357" w:type="dxa"/>
            <w:vMerge w:val="restart"/>
          </w:tcPr>
          <w:p w:rsidR="005D561C" w:rsidRPr="005D561C" w:rsidRDefault="005D561C" w:rsidP="005D561C">
            <w:pPr>
              <w:pStyle w:val="Default"/>
              <w:ind w:left="-108"/>
              <w:jc w:val="center"/>
              <w:rPr>
                <w:sz w:val="20"/>
                <w:szCs w:val="20"/>
              </w:rPr>
            </w:pPr>
            <w:r>
              <w:rPr>
                <w:sz w:val="20"/>
                <w:szCs w:val="20"/>
              </w:rPr>
              <w:t>Наименование должника</w:t>
            </w:r>
          </w:p>
        </w:tc>
        <w:tc>
          <w:tcPr>
            <w:tcW w:w="591" w:type="dxa"/>
            <w:vMerge w:val="restart"/>
          </w:tcPr>
          <w:p w:rsidR="005D561C" w:rsidRPr="005D561C" w:rsidRDefault="005D561C" w:rsidP="005D561C">
            <w:pPr>
              <w:pStyle w:val="Default"/>
              <w:ind w:left="-65"/>
              <w:jc w:val="center"/>
              <w:rPr>
                <w:sz w:val="20"/>
                <w:szCs w:val="20"/>
              </w:rPr>
            </w:pPr>
            <w:r>
              <w:rPr>
                <w:sz w:val="20"/>
                <w:szCs w:val="20"/>
              </w:rPr>
              <w:t>ИНН</w:t>
            </w:r>
          </w:p>
        </w:tc>
        <w:tc>
          <w:tcPr>
            <w:tcW w:w="603" w:type="dxa"/>
            <w:vMerge w:val="restart"/>
          </w:tcPr>
          <w:p w:rsidR="005D561C" w:rsidRPr="005D561C" w:rsidRDefault="005D561C" w:rsidP="005D561C">
            <w:pPr>
              <w:pStyle w:val="Default"/>
              <w:jc w:val="center"/>
              <w:rPr>
                <w:sz w:val="20"/>
                <w:szCs w:val="20"/>
              </w:rPr>
            </w:pPr>
            <w:r>
              <w:rPr>
                <w:sz w:val="20"/>
                <w:szCs w:val="20"/>
              </w:rPr>
              <w:t>КБК</w:t>
            </w:r>
          </w:p>
        </w:tc>
        <w:tc>
          <w:tcPr>
            <w:tcW w:w="1510" w:type="dxa"/>
            <w:vMerge w:val="restart"/>
          </w:tcPr>
          <w:p w:rsidR="005D561C" w:rsidRPr="005D561C" w:rsidRDefault="005D561C" w:rsidP="005D561C">
            <w:pPr>
              <w:pStyle w:val="Default"/>
              <w:jc w:val="center"/>
              <w:rPr>
                <w:sz w:val="20"/>
                <w:szCs w:val="20"/>
              </w:rPr>
            </w:pPr>
            <w:r>
              <w:rPr>
                <w:sz w:val="20"/>
                <w:szCs w:val="20"/>
              </w:rPr>
              <w:t>Объем просроченной задолженности</w:t>
            </w:r>
          </w:p>
        </w:tc>
        <w:tc>
          <w:tcPr>
            <w:tcW w:w="1510" w:type="dxa"/>
            <w:vMerge w:val="restart"/>
          </w:tcPr>
          <w:p w:rsidR="005D561C" w:rsidRPr="005D561C" w:rsidRDefault="005D561C" w:rsidP="005D561C">
            <w:pPr>
              <w:pStyle w:val="Default"/>
              <w:jc w:val="center"/>
              <w:rPr>
                <w:sz w:val="20"/>
                <w:szCs w:val="20"/>
              </w:rPr>
            </w:pPr>
            <w:r>
              <w:rPr>
                <w:sz w:val="20"/>
                <w:szCs w:val="20"/>
              </w:rPr>
              <w:t>Дата возникновения задолженности</w:t>
            </w:r>
          </w:p>
        </w:tc>
        <w:tc>
          <w:tcPr>
            <w:tcW w:w="3642" w:type="dxa"/>
            <w:gridSpan w:val="3"/>
          </w:tcPr>
          <w:p w:rsidR="005D561C" w:rsidRPr="005D561C" w:rsidRDefault="005D561C" w:rsidP="005D561C">
            <w:pPr>
              <w:pStyle w:val="Default"/>
              <w:jc w:val="center"/>
              <w:rPr>
                <w:sz w:val="20"/>
                <w:szCs w:val="20"/>
              </w:rPr>
            </w:pPr>
            <w:r>
              <w:rPr>
                <w:sz w:val="20"/>
                <w:szCs w:val="20"/>
              </w:rPr>
              <w:t>Претензия</w:t>
            </w:r>
          </w:p>
        </w:tc>
        <w:tc>
          <w:tcPr>
            <w:tcW w:w="1704" w:type="dxa"/>
            <w:gridSpan w:val="4"/>
          </w:tcPr>
          <w:p w:rsidR="005D561C" w:rsidRPr="005D561C" w:rsidRDefault="005D561C" w:rsidP="005D561C">
            <w:pPr>
              <w:pStyle w:val="Default"/>
              <w:jc w:val="center"/>
              <w:rPr>
                <w:sz w:val="20"/>
                <w:szCs w:val="20"/>
              </w:rPr>
            </w:pPr>
            <w:r>
              <w:rPr>
                <w:sz w:val="20"/>
                <w:szCs w:val="20"/>
              </w:rPr>
              <w:t>Исковое заявление</w:t>
            </w:r>
          </w:p>
        </w:tc>
        <w:tc>
          <w:tcPr>
            <w:tcW w:w="1704" w:type="dxa"/>
            <w:gridSpan w:val="4"/>
          </w:tcPr>
          <w:p w:rsidR="005D561C" w:rsidRPr="005D561C" w:rsidRDefault="005D561C" w:rsidP="005D561C">
            <w:pPr>
              <w:pStyle w:val="Default"/>
              <w:jc w:val="center"/>
              <w:rPr>
                <w:sz w:val="20"/>
                <w:szCs w:val="20"/>
              </w:rPr>
            </w:pPr>
            <w:r>
              <w:rPr>
                <w:sz w:val="20"/>
                <w:szCs w:val="20"/>
              </w:rPr>
              <w:t>Исполнительное производство</w:t>
            </w:r>
          </w:p>
        </w:tc>
        <w:tc>
          <w:tcPr>
            <w:tcW w:w="1560" w:type="dxa"/>
            <w:vMerge w:val="restart"/>
          </w:tcPr>
          <w:p w:rsidR="005D561C" w:rsidRPr="005D561C" w:rsidRDefault="005D561C" w:rsidP="005D561C">
            <w:pPr>
              <w:pStyle w:val="Default"/>
              <w:jc w:val="center"/>
              <w:rPr>
                <w:sz w:val="20"/>
                <w:szCs w:val="20"/>
              </w:rPr>
            </w:pPr>
            <w:r>
              <w:rPr>
                <w:sz w:val="20"/>
                <w:szCs w:val="20"/>
              </w:rPr>
              <w:t>Объем задолженности, находящейся в работе на конец периода</w:t>
            </w:r>
          </w:p>
        </w:tc>
      </w:tr>
      <w:tr w:rsidR="00E4188D" w:rsidRPr="005D561C" w:rsidTr="005D561C">
        <w:tc>
          <w:tcPr>
            <w:tcW w:w="379" w:type="dxa"/>
            <w:vMerge/>
          </w:tcPr>
          <w:p w:rsidR="005D561C" w:rsidRPr="005D561C" w:rsidRDefault="005D561C" w:rsidP="005D561C">
            <w:pPr>
              <w:pStyle w:val="Default"/>
              <w:ind w:left="-113"/>
              <w:jc w:val="center"/>
              <w:rPr>
                <w:sz w:val="20"/>
                <w:szCs w:val="20"/>
              </w:rPr>
            </w:pPr>
          </w:p>
        </w:tc>
        <w:tc>
          <w:tcPr>
            <w:tcW w:w="1357" w:type="dxa"/>
            <w:vMerge/>
          </w:tcPr>
          <w:p w:rsidR="005D561C" w:rsidRPr="005D561C" w:rsidRDefault="005D561C" w:rsidP="005D561C">
            <w:pPr>
              <w:pStyle w:val="Default"/>
              <w:ind w:left="-108"/>
              <w:jc w:val="center"/>
              <w:rPr>
                <w:sz w:val="20"/>
                <w:szCs w:val="20"/>
              </w:rPr>
            </w:pPr>
          </w:p>
        </w:tc>
        <w:tc>
          <w:tcPr>
            <w:tcW w:w="591" w:type="dxa"/>
            <w:vMerge/>
          </w:tcPr>
          <w:p w:rsidR="005D561C" w:rsidRPr="005D561C" w:rsidRDefault="005D561C" w:rsidP="005D561C">
            <w:pPr>
              <w:pStyle w:val="Default"/>
              <w:ind w:left="-65"/>
              <w:jc w:val="center"/>
              <w:rPr>
                <w:sz w:val="20"/>
                <w:szCs w:val="20"/>
              </w:rPr>
            </w:pPr>
          </w:p>
        </w:tc>
        <w:tc>
          <w:tcPr>
            <w:tcW w:w="603" w:type="dxa"/>
            <w:vMerge/>
          </w:tcPr>
          <w:p w:rsidR="005D561C" w:rsidRPr="005D561C" w:rsidRDefault="005D561C" w:rsidP="005D561C">
            <w:pPr>
              <w:pStyle w:val="Default"/>
              <w:jc w:val="center"/>
              <w:rPr>
                <w:sz w:val="20"/>
                <w:szCs w:val="20"/>
              </w:rPr>
            </w:pPr>
          </w:p>
        </w:tc>
        <w:tc>
          <w:tcPr>
            <w:tcW w:w="1510" w:type="dxa"/>
            <w:vMerge/>
          </w:tcPr>
          <w:p w:rsidR="005D561C" w:rsidRPr="005D561C" w:rsidRDefault="005D561C" w:rsidP="005D561C">
            <w:pPr>
              <w:pStyle w:val="Default"/>
              <w:jc w:val="center"/>
              <w:rPr>
                <w:sz w:val="20"/>
                <w:szCs w:val="20"/>
              </w:rPr>
            </w:pPr>
          </w:p>
        </w:tc>
        <w:tc>
          <w:tcPr>
            <w:tcW w:w="1510" w:type="dxa"/>
            <w:vMerge/>
          </w:tcPr>
          <w:p w:rsidR="005D561C" w:rsidRPr="005D561C" w:rsidRDefault="005D561C" w:rsidP="005D561C">
            <w:pPr>
              <w:pStyle w:val="Default"/>
              <w:jc w:val="center"/>
              <w:rPr>
                <w:sz w:val="20"/>
                <w:szCs w:val="20"/>
              </w:rPr>
            </w:pPr>
          </w:p>
        </w:tc>
        <w:tc>
          <w:tcPr>
            <w:tcW w:w="1297" w:type="dxa"/>
          </w:tcPr>
          <w:p w:rsidR="005D561C" w:rsidRPr="005D561C" w:rsidRDefault="005D561C" w:rsidP="005D561C">
            <w:pPr>
              <w:pStyle w:val="Default"/>
              <w:jc w:val="center"/>
              <w:rPr>
                <w:sz w:val="20"/>
                <w:szCs w:val="20"/>
              </w:rPr>
            </w:pPr>
            <w:r>
              <w:rPr>
                <w:sz w:val="20"/>
                <w:szCs w:val="20"/>
              </w:rPr>
              <w:t>Дата направления претензии</w:t>
            </w:r>
          </w:p>
        </w:tc>
        <w:tc>
          <w:tcPr>
            <w:tcW w:w="1399" w:type="dxa"/>
          </w:tcPr>
          <w:p w:rsidR="005D561C" w:rsidRPr="005D561C" w:rsidRDefault="005D561C" w:rsidP="005D561C">
            <w:pPr>
              <w:pStyle w:val="Default"/>
              <w:jc w:val="center"/>
              <w:rPr>
                <w:sz w:val="20"/>
                <w:szCs w:val="20"/>
              </w:rPr>
            </w:pPr>
            <w:r>
              <w:rPr>
                <w:sz w:val="20"/>
                <w:szCs w:val="20"/>
              </w:rPr>
              <w:t>Сумма предъявления</w:t>
            </w:r>
          </w:p>
        </w:tc>
        <w:tc>
          <w:tcPr>
            <w:tcW w:w="946" w:type="dxa"/>
          </w:tcPr>
          <w:p w:rsidR="005D561C" w:rsidRPr="005D561C" w:rsidRDefault="005D561C" w:rsidP="005D561C">
            <w:pPr>
              <w:pStyle w:val="Default"/>
              <w:jc w:val="center"/>
              <w:rPr>
                <w:sz w:val="20"/>
                <w:szCs w:val="20"/>
              </w:rPr>
            </w:pPr>
            <w:r>
              <w:rPr>
                <w:sz w:val="20"/>
                <w:szCs w:val="20"/>
              </w:rPr>
              <w:t>О</w:t>
            </w:r>
            <w:r w:rsidR="00E4188D">
              <w:rPr>
                <w:sz w:val="20"/>
                <w:szCs w:val="20"/>
              </w:rPr>
              <w:t>п</w:t>
            </w:r>
            <w:r>
              <w:rPr>
                <w:sz w:val="20"/>
                <w:szCs w:val="20"/>
              </w:rPr>
              <w:t>лачено</w:t>
            </w:r>
          </w:p>
        </w:tc>
        <w:tc>
          <w:tcPr>
            <w:tcW w:w="426" w:type="dxa"/>
          </w:tcPr>
          <w:p w:rsidR="005D561C" w:rsidRPr="005D561C" w:rsidRDefault="005D561C" w:rsidP="005D561C">
            <w:pPr>
              <w:pStyle w:val="Default"/>
              <w:jc w:val="center"/>
              <w:rPr>
                <w:sz w:val="20"/>
                <w:szCs w:val="20"/>
              </w:rPr>
            </w:pPr>
            <w:r>
              <w:rPr>
                <w:sz w:val="20"/>
                <w:szCs w:val="20"/>
              </w:rPr>
              <w:t>Дата направления в суд</w:t>
            </w:r>
          </w:p>
        </w:tc>
        <w:tc>
          <w:tcPr>
            <w:tcW w:w="426" w:type="dxa"/>
          </w:tcPr>
          <w:p w:rsidR="005D561C" w:rsidRPr="005D561C" w:rsidRDefault="00E4188D" w:rsidP="005D561C">
            <w:pPr>
              <w:pStyle w:val="Default"/>
              <w:jc w:val="center"/>
              <w:rPr>
                <w:sz w:val="20"/>
                <w:szCs w:val="20"/>
              </w:rPr>
            </w:pPr>
            <w:r>
              <w:rPr>
                <w:sz w:val="20"/>
                <w:szCs w:val="20"/>
              </w:rPr>
              <w:t>Сумма предъявления</w:t>
            </w:r>
          </w:p>
        </w:tc>
        <w:tc>
          <w:tcPr>
            <w:tcW w:w="426" w:type="dxa"/>
          </w:tcPr>
          <w:p w:rsidR="005D561C" w:rsidRPr="005D561C" w:rsidRDefault="005D561C" w:rsidP="005D561C">
            <w:pPr>
              <w:pStyle w:val="Default"/>
              <w:jc w:val="center"/>
              <w:rPr>
                <w:sz w:val="20"/>
                <w:szCs w:val="20"/>
              </w:rPr>
            </w:pPr>
            <w:r>
              <w:rPr>
                <w:sz w:val="20"/>
                <w:szCs w:val="20"/>
              </w:rPr>
              <w:t>Объем задолженности, возможный к взысканию в соответствии с судебным решением</w:t>
            </w:r>
          </w:p>
        </w:tc>
        <w:tc>
          <w:tcPr>
            <w:tcW w:w="426" w:type="dxa"/>
          </w:tcPr>
          <w:p w:rsidR="005D561C" w:rsidRPr="005D561C" w:rsidRDefault="00E4188D" w:rsidP="005D561C">
            <w:pPr>
              <w:pStyle w:val="Default"/>
              <w:jc w:val="center"/>
              <w:rPr>
                <w:sz w:val="20"/>
                <w:szCs w:val="20"/>
              </w:rPr>
            </w:pPr>
            <w:r>
              <w:rPr>
                <w:sz w:val="20"/>
                <w:szCs w:val="20"/>
              </w:rPr>
              <w:t>Объем задолженности, оплаченный добровольно</w:t>
            </w:r>
          </w:p>
        </w:tc>
        <w:tc>
          <w:tcPr>
            <w:tcW w:w="426" w:type="dxa"/>
          </w:tcPr>
          <w:p w:rsidR="005D561C" w:rsidRPr="005D561C" w:rsidRDefault="00E4188D" w:rsidP="005D561C">
            <w:pPr>
              <w:pStyle w:val="Default"/>
              <w:jc w:val="center"/>
              <w:rPr>
                <w:sz w:val="20"/>
                <w:szCs w:val="20"/>
              </w:rPr>
            </w:pPr>
            <w:r>
              <w:rPr>
                <w:sz w:val="20"/>
                <w:szCs w:val="20"/>
              </w:rPr>
              <w:t>Дата направления исполнительного документа в ФССП</w:t>
            </w:r>
          </w:p>
        </w:tc>
        <w:tc>
          <w:tcPr>
            <w:tcW w:w="426" w:type="dxa"/>
          </w:tcPr>
          <w:p w:rsidR="005D561C" w:rsidRPr="005D561C" w:rsidRDefault="00E4188D" w:rsidP="005D561C">
            <w:pPr>
              <w:pStyle w:val="Default"/>
              <w:jc w:val="center"/>
              <w:rPr>
                <w:sz w:val="20"/>
                <w:szCs w:val="20"/>
              </w:rPr>
            </w:pPr>
            <w:r>
              <w:rPr>
                <w:sz w:val="20"/>
                <w:szCs w:val="20"/>
              </w:rPr>
              <w:t>Сумма задолженности, оплаченная добровольно</w:t>
            </w:r>
          </w:p>
        </w:tc>
        <w:tc>
          <w:tcPr>
            <w:tcW w:w="426" w:type="dxa"/>
          </w:tcPr>
          <w:p w:rsidR="005D561C" w:rsidRPr="005D561C" w:rsidRDefault="00E4188D" w:rsidP="005D561C">
            <w:pPr>
              <w:pStyle w:val="Default"/>
              <w:jc w:val="center"/>
              <w:rPr>
                <w:sz w:val="20"/>
                <w:szCs w:val="20"/>
              </w:rPr>
            </w:pPr>
            <w:r>
              <w:rPr>
                <w:sz w:val="20"/>
                <w:szCs w:val="20"/>
              </w:rPr>
              <w:t>Сумма задолженности, взысканная ФССП</w:t>
            </w:r>
          </w:p>
        </w:tc>
        <w:tc>
          <w:tcPr>
            <w:tcW w:w="426" w:type="dxa"/>
          </w:tcPr>
          <w:p w:rsidR="005D561C" w:rsidRPr="005D561C" w:rsidRDefault="00E4188D" w:rsidP="005D561C">
            <w:pPr>
              <w:pStyle w:val="Default"/>
              <w:jc w:val="center"/>
              <w:rPr>
                <w:sz w:val="20"/>
                <w:szCs w:val="20"/>
              </w:rPr>
            </w:pPr>
            <w:r>
              <w:rPr>
                <w:sz w:val="20"/>
                <w:szCs w:val="20"/>
              </w:rPr>
              <w:t>Дата ознакомления с материалами исполнительного производства</w:t>
            </w:r>
          </w:p>
        </w:tc>
        <w:tc>
          <w:tcPr>
            <w:tcW w:w="1560" w:type="dxa"/>
            <w:vMerge/>
          </w:tcPr>
          <w:p w:rsidR="005D561C" w:rsidRPr="005D561C" w:rsidRDefault="005D561C" w:rsidP="005D561C">
            <w:pPr>
              <w:pStyle w:val="Default"/>
              <w:jc w:val="center"/>
              <w:rPr>
                <w:sz w:val="20"/>
                <w:szCs w:val="20"/>
              </w:rPr>
            </w:pPr>
          </w:p>
        </w:tc>
      </w:tr>
      <w:tr w:rsidR="00E4188D" w:rsidRPr="005D561C" w:rsidTr="005D561C">
        <w:trPr>
          <w:trHeight w:val="93"/>
        </w:trPr>
        <w:tc>
          <w:tcPr>
            <w:tcW w:w="379" w:type="dxa"/>
          </w:tcPr>
          <w:p w:rsidR="005D561C" w:rsidRPr="005D561C" w:rsidRDefault="005D561C" w:rsidP="005D561C">
            <w:pPr>
              <w:pStyle w:val="Default"/>
              <w:ind w:left="-113"/>
              <w:jc w:val="center"/>
              <w:rPr>
                <w:sz w:val="18"/>
                <w:szCs w:val="18"/>
              </w:rPr>
            </w:pPr>
            <w:r>
              <w:rPr>
                <w:sz w:val="18"/>
                <w:szCs w:val="18"/>
              </w:rPr>
              <w:t>1</w:t>
            </w:r>
          </w:p>
        </w:tc>
        <w:tc>
          <w:tcPr>
            <w:tcW w:w="1357" w:type="dxa"/>
          </w:tcPr>
          <w:p w:rsidR="005D561C" w:rsidRPr="005D561C" w:rsidRDefault="005D561C" w:rsidP="005D561C">
            <w:pPr>
              <w:pStyle w:val="Default"/>
              <w:ind w:left="-108"/>
              <w:jc w:val="center"/>
              <w:rPr>
                <w:sz w:val="20"/>
                <w:szCs w:val="20"/>
              </w:rPr>
            </w:pPr>
            <w:r>
              <w:rPr>
                <w:sz w:val="20"/>
                <w:szCs w:val="20"/>
              </w:rPr>
              <w:t>2</w:t>
            </w:r>
          </w:p>
        </w:tc>
        <w:tc>
          <w:tcPr>
            <w:tcW w:w="591" w:type="dxa"/>
          </w:tcPr>
          <w:p w:rsidR="005D561C" w:rsidRPr="005D561C" w:rsidRDefault="005D561C" w:rsidP="005D561C">
            <w:pPr>
              <w:pStyle w:val="Default"/>
              <w:ind w:left="-65"/>
              <w:jc w:val="center"/>
              <w:rPr>
                <w:sz w:val="20"/>
                <w:szCs w:val="20"/>
              </w:rPr>
            </w:pPr>
            <w:r>
              <w:rPr>
                <w:sz w:val="20"/>
                <w:szCs w:val="20"/>
              </w:rPr>
              <w:t>3</w:t>
            </w:r>
          </w:p>
        </w:tc>
        <w:tc>
          <w:tcPr>
            <w:tcW w:w="603" w:type="dxa"/>
          </w:tcPr>
          <w:p w:rsidR="005D561C" w:rsidRPr="005D561C" w:rsidRDefault="005D561C" w:rsidP="005D561C">
            <w:pPr>
              <w:pStyle w:val="Default"/>
              <w:jc w:val="center"/>
              <w:rPr>
                <w:sz w:val="20"/>
                <w:szCs w:val="20"/>
              </w:rPr>
            </w:pPr>
            <w:r>
              <w:rPr>
                <w:sz w:val="20"/>
                <w:szCs w:val="20"/>
              </w:rPr>
              <w:t>4</w:t>
            </w:r>
          </w:p>
        </w:tc>
        <w:tc>
          <w:tcPr>
            <w:tcW w:w="1510" w:type="dxa"/>
          </w:tcPr>
          <w:p w:rsidR="005D561C" w:rsidRPr="005D561C" w:rsidRDefault="005D561C" w:rsidP="005D561C">
            <w:pPr>
              <w:pStyle w:val="Default"/>
              <w:jc w:val="center"/>
              <w:rPr>
                <w:sz w:val="20"/>
                <w:szCs w:val="20"/>
              </w:rPr>
            </w:pPr>
            <w:r>
              <w:rPr>
                <w:sz w:val="20"/>
                <w:szCs w:val="20"/>
              </w:rPr>
              <w:t>5</w:t>
            </w:r>
          </w:p>
        </w:tc>
        <w:tc>
          <w:tcPr>
            <w:tcW w:w="1510" w:type="dxa"/>
          </w:tcPr>
          <w:p w:rsidR="005D561C" w:rsidRPr="005D561C" w:rsidRDefault="005D561C" w:rsidP="005D561C">
            <w:pPr>
              <w:pStyle w:val="Default"/>
              <w:jc w:val="center"/>
              <w:rPr>
                <w:sz w:val="20"/>
                <w:szCs w:val="20"/>
              </w:rPr>
            </w:pPr>
            <w:r>
              <w:rPr>
                <w:sz w:val="20"/>
                <w:szCs w:val="20"/>
              </w:rPr>
              <w:t>6</w:t>
            </w:r>
          </w:p>
        </w:tc>
        <w:tc>
          <w:tcPr>
            <w:tcW w:w="1297" w:type="dxa"/>
          </w:tcPr>
          <w:p w:rsidR="005D561C" w:rsidRPr="005D561C" w:rsidRDefault="005D561C" w:rsidP="005D561C">
            <w:pPr>
              <w:pStyle w:val="Default"/>
              <w:jc w:val="center"/>
              <w:rPr>
                <w:sz w:val="20"/>
                <w:szCs w:val="20"/>
              </w:rPr>
            </w:pPr>
            <w:r>
              <w:rPr>
                <w:sz w:val="20"/>
                <w:szCs w:val="20"/>
              </w:rPr>
              <w:t>7</w:t>
            </w:r>
          </w:p>
        </w:tc>
        <w:tc>
          <w:tcPr>
            <w:tcW w:w="1399" w:type="dxa"/>
          </w:tcPr>
          <w:p w:rsidR="005D561C" w:rsidRPr="005D561C" w:rsidRDefault="005D561C" w:rsidP="005D561C">
            <w:pPr>
              <w:pStyle w:val="Default"/>
              <w:jc w:val="center"/>
              <w:rPr>
                <w:sz w:val="20"/>
                <w:szCs w:val="20"/>
              </w:rPr>
            </w:pPr>
            <w:r>
              <w:rPr>
                <w:sz w:val="20"/>
                <w:szCs w:val="20"/>
              </w:rPr>
              <w:t>8</w:t>
            </w:r>
          </w:p>
        </w:tc>
        <w:tc>
          <w:tcPr>
            <w:tcW w:w="946" w:type="dxa"/>
          </w:tcPr>
          <w:p w:rsidR="005D561C" w:rsidRPr="005D561C" w:rsidRDefault="005D561C" w:rsidP="005D561C">
            <w:pPr>
              <w:pStyle w:val="Default"/>
              <w:jc w:val="center"/>
              <w:rPr>
                <w:sz w:val="20"/>
                <w:szCs w:val="20"/>
              </w:rPr>
            </w:pPr>
            <w:r>
              <w:rPr>
                <w:sz w:val="20"/>
                <w:szCs w:val="20"/>
              </w:rPr>
              <w:t>9</w:t>
            </w:r>
          </w:p>
        </w:tc>
        <w:tc>
          <w:tcPr>
            <w:tcW w:w="426" w:type="dxa"/>
          </w:tcPr>
          <w:p w:rsidR="005D561C" w:rsidRPr="005D561C" w:rsidRDefault="005D561C" w:rsidP="005D561C">
            <w:pPr>
              <w:pStyle w:val="Default"/>
              <w:jc w:val="center"/>
              <w:rPr>
                <w:sz w:val="20"/>
                <w:szCs w:val="20"/>
              </w:rPr>
            </w:pPr>
            <w:r>
              <w:rPr>
                <w:sz w:val="20"/>
                <w:szCs w:val="20"/>
              </w:rPr>
              <w:t>10</w:t>
            </w:r>
          </w:p>
        </w:tc>
        <w:tc>
          <w:tcPr>
            <w:tcW w:w="426" w:type="dxa"/>
          </w:tcPr>
          <w:p w:rsidR="005D561C" w:rsidRPr="005D561C" w:rsidRDefault="005D561C" w:rsidP="005D561C">
            <w:pPr>
              <w:pStyle w:val="Default"/>
              <w:jc w:val="center"/>
              <w:rPr>
                <w:sz w:val="20"/>
                <w:szCs w:val="20"/>
              </w:rPr>
            </w:pPr>
            <w:r>
              <w:rPr>
                <w:sz w:val="20"/>
                <w:szCs w:val="20"/>
              </w:rPr>
              <w:t>11</w:t>
            </w:r>
          </w:p>
        </w:tc>
        <w:tc>
          <w:tcPr>
            <w:tcW w:w="426" w:type="dxa"/>
          </w:tcPr>
          <w:p w:rsidR="005D561C" w:rsidRPr="005D561C" w:rsidRDefault="005D561C" w:rsidP="005D561C">
            <w:pPr>
              <w:pStyle w:val="Default"/>
              <w:jc w:val="center"/>
              <w:rPr>
                <w:sz w:val="20"/>
                <w:szCs w:val="20"/>
              </w:rPr>
            </w:pPr>
            <w:r>
              <w:rPr>
                <w:sz w:val="20"/>
                <w:szCs w:val="20"/>
              </w:rPr>
              <w:t>12</w:t>
            </w:r>
          </w:p>
        </w:tc>
        <w:tc>
          <w:tcPr>
            <w:tcW w:w="426" w:type="dxa"/>
          </w:tcPr>
          <w:p w:rsidR="005D561C" w:rsidRPr="005D561C" w:rsidRDefault="005D561C" w:rsidP="005D561C">
            <w:pPr>
              <w:pStyle w:val="Default"/>
              <w:jc w:val="center"/>
              <w:rPr>
                <w:sz w:val="20"/>
                <w:szCs w:val="20"/>
              </w:rPr>
            </w:pPr>
            <w:r>
              <w:rPr>
                <w:sz w:val="20"/>
                <w:szCs w:val="20"/>
              </w:rPr>
              <w:t>13</w:t>
            </w:r>
          </w:p>
        </w:tc>
        <w:tc>
          <w:tcPr>
            <w:tcW w:w="426" w:type="dxa"/>
          </w:tcPr>
          <w:p w:rsidR="005D561C" w:rsidRPr="005D561C" w:rsidRDefault="005D561C" w:rsidP="005D561C">
            <w:pPr>
              <w:pStyle w:val="Default"/>
              <w:jc w:val="center"/>
              <w:rPr>
                <w:sz w:val="20"/>
                <w:szCs w:val="20"/>
              </w:rPr>
            </w:pPr>
            <w:r>
              <w:rPr>
                <w:sz w:val="20"/>
                <w:szCs w:val="20"/>
              </w:rPr>
              <w:t>14</w:t>
            </w:r>
          </w:p>
        </w:tc>
        <w:tc>
          <w:tcPr>
            <w:tcW w:w="426" w:type="dxa"/>
          </w:tcPr>
          <w:p w:rsidR="005D561C" w:rsidRPr="005D561C" w:rsidRDefault="005D561C" w:rsidP="005D561C">
            <w:pPr>
              <w:pStyle w:val="Default"/>
              <w:jc w:val="center"/>
              <w:rPr>
                <w:sz w:val="20"/>
                <w:szCs w:val="20"/>
              </w:rPr>
            </w:pPr>
            <w:r>
              <w:rPr>
                <w:sz w:val="20"/>
                <w:szCs w:val="20"/>
              </w:rPr>
              <w:t>15</w:t>
            </w:r>
          </w:p>
        </w:tc>
        <w:tc>
          <w:tcPr>
            <w:tcW w:w="426" w:type="dxa"/>
          </w:tcPr>
          <w:p w:rsidR="005D561C" w:rsidRPr="005D561C" w:rsidRDefault="005D561C" w:rsidP="005D561C">
            <w:pPr>
              <w:pStyle w:val="Default"/>
              <w:jc w:val="center"/>
              <w:rPr>
                <w:sz w:val="20"/>
                <w:szCs w:val="20"/>
              </w:rPr>
            </w:pPr>
            <w:r>
              <w:rPr>
                <w:sz w:val="20"/>
                <w:szCs w:val="20"/>
              </w:rPr>
              <w:t>16</w:t>
            </w:r>
          </w:p>
        </w:tc>
        <w:tc>
          <w:tcPr>
            <w:tcW w:w="426" w:type="dxa"/>
          </w:tcPr>
          <w:p w:rsidR="005D561C" w:rsidRPr="005D561C" w:rsidRDefault="005D561C" w:rsidP="005D561C">
            <w:pPr>
              <w:pStyle w:val="Default"/>
              <w:jc w:val="center"/>
              <w:rPr>
                <w:sz w:val="20"/>
                <w:szCs w:val="20"/>
              </w:rPr>
            </w:pPr>
            <w:r>
              <w:rPr>
                <w:sz w:val="20"/>
                <w:szCs w:val="20"/>
              </w:rPr>
              <w:t>17</w:t>
            </w:r>
          </w:p>
        </w:tc>
        <w:tc>
          <w:tcPr>
            <w:tcW w:w="1560" w:type="dxa"/>
          </w:tcPr>
          <w:p w:rsidR="005D561C" w:rsidRPr="005D561C" w:rsidRDefault="005D561C" w:rsidP="005D561C">
            <w:pPr>
              <w:pStyle w:val="Default"/>
              <w:jc w:val="center"/>
              <w:rPr>
                <w:sz w:val="20"/>
                <w:szCs w:val="20"/>
              </w:rPr>
            </w:pPr>
            <w:r>
              <w:rPr>
                <w:sz w:val="20"/>
                <w:szCs w:val="20"/>
              </w:rPr>
              <w:t>19</w:t>
            </w:r>
          </w:p>
        </w:tc>
      </w:tr>
      <w:tr w:rsidR="00E4188D" w:rsidRPr="005D561C" w:rsidTr="005D561C">
        <w:tc>
          <w:tcPr>
            <w:tcW w:w="379" w:type="dxa"/>
          </w:tcPr>
          <w:p w:rsidR="005D561C" w:rsidRPr="005D561C" w:rsidRDefault="005D561C" w:rsidP="005D561C">
            <w:pPr>
              <w:pStyle w:val="Default"/>
              <w:ind w:left="-113"/>
              <w:jc w:val="center"/>
              <w:rPr>
                <w:sz w:val="20"/>
                <w:szCs w:val="20"/>
              </w:rPr>
            </w:pPr>
          </w:p>
        </w:tc>
        <w:tc>
          <w:tcPr>
            <w:tcW w:w="1357" w:type="dxa"/>
          </w:tcPr>
          <w:p w:rsidR="005D561C" w:rsidRPr="005D561C" w:rsidRDefault="005D561C" w:rsidP="005D561C">
            <w:pPr>
              <w:pStyle w:val="Default"/>
              <w:ind w:left="-108"/>
              <w:jc w:val="center"/>
              <w:rPr>
                <w:sz w:val="20"/>
                <w:szCs w:val="20"/>
              </w:rPr>
            </w:pPr>
          </w:p>
        </w:tc>
        <w:tc>
          <w:tcPr>
            <w:tcW w:w="591" w:type="dxa"/>
          </w:tcPr>
          <w:p w:rsidR="005D561C" w:rsidRPr="005D561C" w:rsidRDefault="005D561C" w:rsidP="005D561C">
            <w:pPr>
              <w:pStyle w:val="Default"/>
              <w:ind w:left="-65"/>
              <w:jc w:val="center"/>
              <w:rPr>
                <w:sz w:val="20"/>
                <w:szCs w:val="20"/>
              </w:rPr>
            </w:pPr>
          </w:p>
        </w:tc>
        <w:tc>
          <w:tcPr>
            <w:tcW w:w="603" w:type="dxa"/>
          </w:tcPr>
          <w:p w:rsidR="005D561C" w:rsidRPr="005D561C" w:rsidRDefault="005D561C" w:rsidP="005D561C">
            <w:pPr>
              <w:pStyle w:val="Default"/>
              <w:jc w:val="center"/>
              <w:rPr>
                <w:sz w:val="20"/>
                <w:szCs w:val="20"/>
              </w:rPr>
            </w:pPr>
          </w:p>
        </w:tc>
        <w:tc>
          <w:tcPr>
            <w:tcW w:w="1510" w:type="dxa"/>
          </w:tcPr>
          <w:p w:rsidR="005D561C" w:rsidRPr="005D561C" w:rsidRDefault="005D561C" w:rsidP="005D561C">
            <w:pPr>
              <w:pStyle w:val="Default"/>
              <w:jc w:val="center"/>
              <w:rPr>
                <w:sz w:val="20"/>
                <w:szCs w:val="20"/>
              </w:rPr>
            </w:pPr>
          </w:p>
        </w:tc>
        <w:tc>
          <w:tcPr>
            <w:tcW w:w="1510" w:type="dxa"/>
          </w:tcPr>
          <w:p w:rsidR="005D561C" w:rsidRPr="005D561C" w:rsidRDefault="005D561C" w:rsidP="005D561C">
            <w:pPr>
              <w:pStyle w:val="Default"/>
              <w:jc w:val="center"/>
              <w:rPr>
                <w:sz w:val="20"/>
                <w:szCs w:val="20"/>
              </w:rPr>
            </w:pPr>
          </w:p>
        </w:tc>
        <w:tc>
          <w:tcPr>
            <w:tcW w:w="1297" w:type="dxa"/>
          </w:tcPr>
          <w:p w:rsidR="005D561C" w:rsidRPr="005D561C" w:rsidRDefault="005D561C" w:rsidP="005D561C">
            <w:pPr>
              <w:pStyle w:val="Default"/>
              <w:jc w:val="center"/>
              <w:rPr>
                <w:sz w:val="20"/>
                <w:szCs w:val="20"/>
              </w:rPr>
            </w:pPr>
          </w:p>
        </w:tc>
        <w:tc>
          <w:tcPr>
            <w:tcW w:w="1399" w:type="dxa"/>
          </w:tcPr>
          <w:p w:rsidR="005D561C" w:rsidRPr="005D561C" w:rsidRDefault="005D561C" w:rsidP="005D561C">
            <w:pPr>
              <w:pStyle w:val="Default"/>
              <w:jc w:val="center"/>
              <w:rPr>
                <w:sz w:val="20"/>
                <w:szCs w:val="20"/>
              </w:rPr>
            </w:pPr>
          </w:p>
        </w:tc>
        <w:tc>
          <w:tcPr>
            <w:tcW w:w="94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1560" w:type="dxa"/>
          </w:tcPr>
          <w:p w:rsidR="005D561C" w:rsidRPr="005D561C" w:rsidRDefault="005D561C" w:rsidP="005D561C">
            <w:pPr>
              <w:pStyle w:val="Default"/>
              <w:jc w:val="center"/>
              <w:rPr>
                <w:sz w:val="20"/>
                <w:szCs w:val="20"/>
              </w:rPr>
            </w:pPr>
          </w:p>
        </w:tc>
      </w:tr>
      <w:tr w:rsidR="00E4188D" w:rsidRPr="005D561C" w:rsidTr="005D561C">
        <w:tc>
          <w:tcPr>
            <w:tcW w:w="379" w:type="dxa"/>
          </w:tcPr>
          <w:p w:rsidR="005D561C" w:rsidRPr="005D561C" w:rsidRDefault="005D561C" w:rsidP="005D561C">
            <w:pPr>
              <w:pStyle w:val="Default"/>
              <w:ind w:left="-113"/>
              <w:jc w:val="center"/>
              <w:rPr>
                <w:sz w:val="20"/>
                <w:szCs w:val="20"/>
              </w:rPr>
            </w:pPr>
          </w:p>
        </w:tc>
        <w:tc>
          <w:tcPr>
            <w:tcW w:w="1357" w:type="dxa"/>
          </w:tcPr>
          <w:p w:rsidR="005D561C" w:rsidRPr="005D561C" w:rsidRDefault="005D561C" w:rsidP="005D561C">
            <w:pPr>
              <w:pStyle w:val="Default"/>
              <w:ind w:left="-108"/>
              <w:jc w:val="center"/>
              <w:rPr>
                <w:sz w:val="20"/>
                <w:szCs w:val="20"/>
              </w:rPr>
            </w:pPr>
          </w:p>
        </w:tc>
        <w:tc>
          <w:tcPr>
            <w:tcW w:w="591" w:type="dxa"/>
          </w:tcPr>
          <w:p w:rsidR="005D561C" w:rsidRPr="005D561C" w:rsidRDefault="005D561C" w:rsidP="005D561C">
            <w:pPr>
              <w:pStyle w:val="Default"/>
              <w:ind w:left="-65"/>
              <w:jc w:val="center"/>
              <w:rPr>
                <w:sz w:val="20"/>
                <w:szCs w:val="20"/>
              </w:rPr>
            </w:pPr>
          </w:p>
        </w:tc>
        <w:tc>
          <w:tcPr>
            <w:tcW w:w="603" w:type="dxa"/>
          </w:tcPr>
          <w:p w:rsidR="005D561C" w:rsidRPr="005D561C" w:rsidRDefault="005D561C" w:rsidP="005D561C">
            <w:pPr>
              <w:pStyle w:val="Default"/>
              <w:jc w:val="center"/>
              <w:rPr>
                <w:sz w:val="20"/>
                <w:szCs w:val="20"/>
              </w:rPr>
            </w:pPr>
          </w:p>
        </w:tc>
        <w:tc>
          <w:tcPr>
            <w:tcW w:w="1510" w:type="dxa"/>
          </w:tcPr>
          <w:p w:rsidR="005D561C" w:rsidRPr="005D561C" w:rsidRDefault="005D561C" w:rsidP="005D561C">
            <w:pPr>
              <w:pStyle w:val="Default"/>
              <w:jc w:val="center"/>
              <w:rPr>
                <w:sz w:val="20"/>
                <w:szCs w:val="20"/>
              </w:rPr>
            </w:pPr>
          </w:p>
        </w:tc>
        <w:tc>
          <w:tcPr>
            <w:tcW w:w="1510" w:type="dxa"/>
          </w:tcPr>
          <w:p w:rsidR="005D561C" w:rsidRPr="005D561C" w:rsidRDefault="005D561C" w:rsidP="005D561C">
            <w:pPr>
              <w:pStyle w:val="Default"/>
              <w:jc w:val="center"/>
              <w:rPr>
                <w:sz w:val="20"/>
                <w:szCs w:val="20"/>
              </w:rPr>
            </w:pPr>
          </w:p>
        </w:tc>
        <w:tc>
          <w:tcPr>
            <w:tcW w:w="1297" w:type="dxa"/>
          </w:tcPr>
          <w:p w:rsidR="005D561C" w:rsidRPr="005D561C" w:rsidRDefault="005D561C" w:rsidP="005D561C">
            <w:pPr>
              <w:pStyle w:val="Default"/>
              <w:jc w:val="center"/>
              <w:rPr>
                <w:sz w:val="20"/>
                <w:szCs w:val="20"/>
              </w:rPr>
            </w:pPr>
          </w:p>
        </w:tc>
        <w:tc>
          <w:tcPr>
            <w:tcW w:w="1399" w:type="dxa"/>
          </w:tcPr>
          <w:p w:rsidR="005D561C" w:rsidRPr="005D561C" w:rsidRDefault="005D561C" w:rsidP="005D561C">
            <w:pPr>
              <w:pStyle w:val="Default"/>
              <w:jc w:val="center"/>
              <w:rPr>
                <w:sz w:val="20"/>
                <w:szCs w:val="20"/>
              </w:rPr>
            </w:pPr>
          </w:p>
        </w:tc>
        <w:tc>
          <w:tcPr>
            <w:tcW w:w="94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1560" w:type="dxa"/>
          </w:tcPr>
          <w:p w:rsidR="005D561C" w:rsidRPr="005D561C" w:rsidRDefault="005D561C" w:rsidP="005D561C">
            <w:pPr>
              <w:pStyle w:val="Default"/>
              <w:jc w:val="center"/>
              <w:rPr>
                <w:sz w:val="20"/>
                <w:szCs w:val="20"/>
              </w:rPr>
            </w:pPr>
          </w:p>
        </w:tc>
      </w:tr>
      <w:tr w:rsidR="00E4188D" w:rsidRPr="005D561C" w:rsidTr="005D561C">
        <w:tc>
          <w:tcPr>
            <w:tcW w:w="1736" w:type="dxa"/>
            <w:gridSpan w:val="2"/>
          </w:tcPr>
          <w:p w:rsidR="005D561C" w:rsidRPr="005D561C" w:rsidRDefault="005D561C" w:rsidP="005D561C">
            <w:pPr>
              <w:pStyle w:val="Default"/>
              <w:ind w:left="-108"/>
              <w:jc w:val="center"/>
              <w:rPr>
                <w:sz w:val="20"/>
                <w:szCs w:val="20"/>
              </w:rPr>
            </w:pPr>
            <w:r>
              <w:rPr>
                <w:sz w:val="20"/>
                <w:szCs w:val="20"/>
              </w:rPr>
              <w:t>Итого по МО</w:t>
            </w:r>
          </w:p>
        </w:tc>
        <w:tc>
          <w:tcPr>
            <w:tcW w:w="591" w:type="dxa"/>
          </w:tcPr>
          <w:p w:rsidR="005D561C" w:rsidRPr="005D561C" w:rsidRDefault="005D561C" w:rsidP="005D561C">
            <w:pPr>
              <w:pStyle w:val="Default"/>
              <w:ind w:left="-65"/>
              <w:jc w:val="center"/>
              <w:rPr>
                <w:sz w:val="20"/>
                <w:szCs w:val="20"/>
              </w:rPr>
            </w:pPr>
          </w:p>
        </w:tc>
        <w:tc>
          <w:tcPr>
            <w:tcW w:w="603" w:type="dxa"/>
          </w:tcPr>
          <w:p w:rsidR="005D561C" w:rsidRPr="005D561C" w:rsidRDefault="005D561C" w:rsidP="005D561C">
            <w:pPr>
              <w:pStyle w:val="Default"/>
              <w:jc w:val="center"/>
              <w:rPr>
                <w:sz w:val="20"/>
                <w:szCs w:val="20"/>
              </w:rPr>
            </w:pPr>
          </w:p>
        </w:tc>
        <w:tc>
          <w:tcPr>
            <w:tcW w:w="1510" w:type="dxa"/>
          </w:tcPr>
          <w:p w:rsidR="005D561C" w:rsidRPr="005D561C" w:rsidRDefault="005D561C" w:rsidP="005D561C">
            <w:pPr>
              <w:pStyle w:val="Default"/>
              <w:jc w:val="center"/>
              <w:rPr>
                <w:sz w:val="20"/>
                <w:szCs w:val="20"/>
              </w:rPr>
            </w:pPr>
          </w:p>
        </w:tc>
        <w:tc>
          <w:tcPr>
            <w:tcW w:w="1510" w:type="dxa"/>
          </w:tcPr>
          <w:p w:rsidR="005D561C" w:rsidRPr="005D561C" w:rsidRDefault="005D561C" w:rsidP="005D561C">
            <w:pPr>
              <w:pStyle w:val="Default"/>
              <w:jc w:val="center"/>
              <w:rPr>
                <w:sz w:val="20"/>
                <w:szCs w:val="20"/>
              </w:rPr>
            </w:pPr>
          </w:p>
        </w:tc>
        <w:tc>
          <w:tcPr>
            <w:tcW w:w="1297" w:type="dxa"/>
          </w:tcPr>
          <w:p w:rsidR="005D561C" w:rsidRPr="005D561C" w:rsidRDefault="005D561C" w:rsidP="005D561C">
            <w:pPr>
              <w:pStyle w:val="Default"/>
              <w:jc w:val="center"/>
              <w:rPr>
                <w:sz w:val="20"/>
                <w:szCs w:val="20"/>
              </w:rPr>
            </w:pPr>
          </w:p>
        </w:tc>
        <w:tc>
          <w:tcPr>
            <w:tcW w:w="1399" w:type="dxa"/>
          </w:tcPr>
          <w:p w:rsidR="005D561C" w:rsidRPr="005D561C" w:rsidRDefault="005D561C" w:rsidP="005D561C">
            <w:pPr>
              <w:pStyle w:val="Default"/>
              <w:jc w:val="center"/>
              <w:rPr>
                <w:sz w:val="20"/>
                <w:szCs w:val="20"/>
              </w:rPr>
            </w:pPr>
          </w:p>
        </w:tc>
        <w:tc>
          <w:tcPr>
            <w:tcW w:w="94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426" w:type="dxa"/>
          </w:tcPr>
          <w:p w:rsidR="005D561C" w:rsidRPr="005D561C" w:rsidRDefault="005D561C" w:rsidP="005D561C">
            <w:pPr>
              <w:pStyle w:val="Default"/>
              <w:jc w:val="center"/>
              <w:rPr>
                <w:sz w:val="20"/>
                <w:szCs w:val="20"/>
              </w:rPr>
            </w:pPr>
          </w:p>
        </w:tc>
        <w:tc>
          <w:tcPr>
            <w:tcW w:w="1560" w:type="dxa"/>
          </w:tcPr>
          <w:p w:rsidR="005D561C" w:rsidRPr="005D561C" w:rsidRDefault="005D561C" w:rsidP="005D561C">
            <w:pPr>
              <w:pStyle w:val="Default"/>
              <w:jc w:val="center"/>
              <w:rPr>
                <w:sz w:val="20"/>
                <w:szCs w:val="20"/>
              </w:rPr>
            </w:pPr>
          </w:p>
        </w:tc>
      </w:tr>
    </w:tbl>
    <w:p w:rsidR="005D561C" w:rsidRDefault="005D561C" w:rsidP="005D561C">
      <w:pPr>
        <w:pStyle w:val="Default"/>
        <w:jc w:val="center"/>
        <w:rPr>
          <w:sz w:val="20"/>
          <w:szCs w:val="20"/>
        </w:rPr>
      </w:pPr>
    </w:p>
    <w:p w:rsidR="00D51E06" w:rsidRDefault="00E4188D" w:rsidP="00E4188D">
      <w:pPr>
        <w:pStyle w:val="Default"/>
        <w:jc w:val="both"/>
        <w:rPr>
          <w:sz w:val="22"/>
          <w:szCs w:val="22"/>
        </w:rPr>
      </w:pPr>
      <w:r>
        <w:rPr>
          <w:sz w:val="22"/>
          <w:szCs w:val="22"/>
        </w:rPr>
        <w:t xml:space="preserve">Руководитель </w:t>
      </w:r>
      <w:r w:rsidR="00D51E06">
        <w:rPr>
          <w:sz w:val="22"/>
          <w:szCs w:val="22"/>
        </w:rPr>
        <w:t>по</w:t>
      </w:r>
      <w:r>
        <w:rPr>
          <w:sz w:val="22"/>
          <w:szCs w:val="22"/>
        </w:rPr>
        <w:t>дразделения</w:t>
      </w:r>
      <w:r w:rsidR="00D51E06">
        <w:rPr>
          <w:sz w:val="22"/>
          <w:szCs w:val="22"/>
        </w:rPr>
        <w:t>-исполнителя,</w:t>
      </w:r>
    </w:p>
    <w:p w:rsidR="00D51E06" w:rsidRDefault="00E4188D" w:rsidP="00E4188D">
      <w:pPr>
        <w:pStyle w:val="Default"/>
        <w:jc w:val="both"/>
        <w:rPr>
          <w:sz w:val="22"/>
          <w:szCs w:val="22"/>
        </w:rPr>
      </w:pPr>
      <w:r>
        <w:rPr>
          <w:sz w:val="22"/>
          <w:szCs w:val="22"/>
        </w:rPr>
        <w:t xml:space="preserve">осуществляющего полномочия </w:t>
      </w:r>
      <w:r w:rsidR="00D51E06">
        <w:rPr>
          <w:sz w:val="22"/>
          <w:szCs w:val="22"/>
        </w:rPr>
        <w:t>Г</w:t>
      </w:r>
      <w:r>
        <w:rPr>
          <w:sz w:val="22"/>
          <w:szCs w:val="22"/>
        </w:rPr>
        <w:t xml:space="preserve">лавного администратора доходов ____________ </w:t>
      </w:r>
      <w:r w:rsidR="00D51E06">
        <w:rPr>
          <w:sz w:val="22"/>
          <w:szCs w:val="22"/>
        </w:rPr>
        <w:t>/</w:t>
      </w:r>
      <w:r>
        <w:rPr>
          <w:sz w:val="22"/>
          <w:szCs w:val="22"/>
        </w:rPr>
        <w:t>_____________</w:t>
      </w:r>
      <w:r w:rsidR="00D51E06">
        <w:rPr>
          <w:sz w:val="22"/>
          <w:szCs w:val="22"/>
        </w:rPr>
        <w:t>/</w:t>
      </w:r>
    </w:p>
    <w:p w:rsidR="00D51E06" w:rsidRDefault="00D51E06" w:rsidP="00E4188D">
      <w:pPr>
        <w:pStyle w:val="Default"/>
        <w:jc w:val="both"/>
        <w:rPr>
          <w:sz w:val="22"/>
          <w:szCs w:val="22"/>
        </w:rPr>
      </w:pPr>
    </w:p>
    <w:p w:rsidR="00E4188D" w:rsidRPr="005D561C" w:rsidRDefault="00E4188D" w:rsidP="00E4188D">
      <w:pPr>
        <w:pStyle w:val="Default"/>
        <w:jc w:val="both"/>
        <w:rPr>
          <w:sz w:val="20"/>
          <w:szCs w:val="20"/>
        </w:rPr>
      </w:pPr>
      <w:r>
        <w:rPr>
          <w:sz w:val="20"/>
          <w:szCs w:val="20"/>
        </w:rPr>
        <w:t>Исполнитель: _____________________тел.____________</w:t>
      </w:r>
    </w:p>
    <w:sectPr w:rsidR="00E4188D" w:rsidRPr="005D561C" w:rsidSect="00084709">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3B2CD2"/>
    <w:rsid w:val="000167FA"/>
    <w:rsid w:val="00084709"/>
    <w:rsid w:val="00114FE7"/>
    <w:rsid w:val="00120C92"/>
    <w:rsid w:val="00122728"/>
    <w:rsid w:val="001860DB"/>
    <w:rsid w:val="001D5EA3"/>
    <w:rsid w:val="0023452F"/>
    <w:rsid w:val="002C2102"/>
    <w:rsid w:val="003B2CD2"/>
    <w:rsid w:val="003C2A3E"/>
    <w:rsid w:val="003D3C2F"/>
    <w:rsid w:val="00445C0D"/>
    <w:rsid w:val="004D1DC4"/>
    <w:rsid w:val="005377CD"/>
    <w:rsid w:val="005D561C"/>
    <w:rsid w:val="006444EE"/>
    <w:rsid w:val="0065203C"/>
    <w:rsid w:val="00680BE0"/>
    <w:rsid w:val="00690217"/>
    <w:rsid w:val="006D0E4E"/>
    <w:rsid w:val="006E6CA1"/>
    <w:rsid w:val="00737213"/>
    <w:rsid w:val="0075167A"/>
    <w:rsid w:val="00796711"/>
    <w:rsid w:val="00841C08"/>
    <w:rsid w:val="00924B49"/>
    <w:rsid w:val="00936853"/>
    <w:rsid w:val="0099255D"/>
    <w:rsid w:val="00A061AB"/>
    <w:rsid w:val="00A86BB3"/>
    <w:rsid w:val="00AD67DB"/>
    <w:rsid w:val="00AF12D2"/>
    <w:rsid w:val="00B64280"/>
    <w:rsid w:val="00C20C70"/>
    <w:rsid w:val="00D51E06"/>
    <w:rsid w:val="00E253B7"/>
    <w:rsid w:val="00E4188D"/>
    <w:rsid w:val="00E73CE4"/>
    <w:rsid w:val="00F81C12"/>
    <w:rsid w:val="00FD0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E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73CE4"/>
    <w:pPr>
      <w:keepNext/>
      <w:jc w:val="center"/>
      <w:outlineLvl w:val="2"/>
    </w:pPr>
    <w:rPr>
      <w:b/>
      <w:snapToGrid w:val="0"/>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3CE4"/>
    <w:rPr>
      <w:rFonts w:ascii="Times New Roman" w:eastAsia="Times New Roman" w:hAnsi="Times New Roman" w:cs="Times New Roman"/>
      <w:b/>
      <w:snapToGrid w:val="0"/>
      <w:color w:val="000000"/>
      <w:szCs w:val="24"/>
      <w:lang w:eastAsia="ru-RU"/>
    </w:rPr>
  </w:style>
  <w:style w:type="paragraph" w:customStyle="1" w:styleId="ConsPlusTitle">
    <w:name w:val="ConsPlusTitle"/>
    <w:rsid w:val="00E73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caption"/>
    <w:basedOn w:val="a"/>
    <w:next w:val="a"/>
    <w:semiHidden/>
    <w:unhideWhenUsed/>
    <w:qFormat/>
    <w:rsid w:val="00E73CE4"/>
    <w:pPr>
      <w:ind w:firstLine="720"/>
      <w:jc w:val="center"/>
    </w:pPr>
    <w:rPr>
      <w:b/>
      <w:sz w:val="22"/>
      <w:szCs w:val="20"/>
    </w:rPr>
  </w:style>
  <w:style w:type="paragraph" w:customStyle="1" w:styleId="ConsPlusNormal">
    <w:name w:val="ConsPlusNormal"/>
    <w:rsid w:val="00E73CE4"/>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73721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AF12D2"/>
    <w:rPr>
      <w:color w:val="0000FF"/>
      <w:u w:val="single"/>
    </w:rPr>
  </w:style>
  <w:style w:type="character" w:styleId="a5">
    <w:name w:val="FollowedHyperlink"/>
    <w:basedOn w:val="a0"/>
    <w:uiPriority w:val="99"/>
    <w:semiHidden/>
    <w:unhideWhenUsed/>
    <w:rsid w:val="00AF12D2"/>
    <w:rPr>
      <w:color w:val="800080"/>
      <w:u w:val="single"/>
    </w:rPr>
  </w:style>
  <w:style w:type="paragraph" w:customStyle="1" w:styleId="font5">
    <w:name w:val="font5"/>
    <w:basedOn w:val="a"/>
    <w:rsid w:val="00AF12D2"/>
    <w:pPr>
      <w:spacing w:before="100" w:beforeAutospacing="1" w:after="100" w:afterAutospacing="1"/>
    </w:pPr>
    <w:rPr>
      <w:b/>
      <w:bCs/>
      <w:color w:val="000000"/>
      <w:sz w:val="26"/>
      <w:szCs w:val="26"/>
    </w:rPr>
  </w:style>
  <w:style w:type="paragraph" w:customStyle="1" w:styleId="xl262">
    <w:name w:val="xl262"/>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63">
    <w:name w:val="xl263"/>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64">
    <w:name w:val="xl264"/>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65">
    <w:name w:val="xl265"/>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66">
    <w:name w:val="xl266"/>
    <w:basedOn w:val="a"/>
    <w:rsid w:val="00AF12D2"/>
    <w:pPr>
      <w:shd w:val="clear" w:color="000000" w:fill="FFFFFF"/>
      <w:spacing w:before="100" w:beforeAutospacing="1" w:after="100" w:afterAutospacing="1"/>
    </w:pPr>
  </w:style>
  <w:style w:type="paragraph" w:customStyle="1" w:styleId="xl267">
    <w:name w:val="xl267"/>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68">
    <w:name w:val="xl268"/>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69">
    <w:name w:val="xl269"/>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70">
    <w:name w:val="xl270"/>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71">
    <w:name w:val="xl271"/>
    <w:basedOn w:val="a"/>
    <w:rsid w:val="00AF12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72">
    <w:name w:val="xl272"/>
    <w:basedOn w:val="a"/>
    <w:rsid w:val="00AF12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73">
    <w:name w:val="xl273"/>
    <w:basedOn w:val="a"/>
    <w:rsid w:val="00AF12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74">
    <w:name w:val="xl274"/>
    <w:basedOn w:val="a"/>
    <w:rsid w:val="00AF12D2"/>
    <w:pPr>
      <w:shd w:val="clear" w:color="000000" w:fill="FFFFFF"/>
      <w:spacing w:before="100" w:beforeAutospacing="1" w:after="100" w:afterAutospacing="1"/>
      <w:textAlignment w:val="center"/>
    </w:pPr>
  </w:style>
  <w:style w:type="paragraph" w:customStyle="1" w:styleId="xl275">
    <w:name w:val="xl275"/>
    <w:basedOn w:val="a"/>
    <w:rsid w:val="00AF12D2"/>
    <w:pPr>
      <w:shd w:val="clear" w:color="000000" w:fill="FFFFFF"/>
      <w:spacing w:before="100" w:beforeAutospacing="1" w:after="100" w:afterAutospacing="1"/>
    </w:pPr>
    <w:rPr>
      <w:i/>
      <w:iCs/>
    </w:rPr>
  </w:style>
  <w:style w:type="paragraph" w:customStyle="1" w:styleId="xl276">
    <w:name w:val="xl276"/>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77">
    <w:name w:val="xl277"/>
    <w:basedOn w:val="a"/>
    <w:rsid w:val="00AF12D2"/>
    <w:pPr>
      <w:shd w:val="clear" w:color="000000" w:fill="FFFFFF"/>
      <w:spacing w:before="100" w:beforeAutospacing="1" w:after="100" w:afterAutospacing="1"/>
      <w:textAlignment w:val="center"/>
    </w:pPr>
    <w:rPr>
      <w:b/>
      <w:bCs/>
      <w:sz w:val="40"/>
      <w:szCs w:val="40"/>
    </w:rPr>
  </w:style>
  <w:style w:type="paragraph" w:customStyle="1" w:styleId="xl278">
    <w:name w:val="xl278"/>
    <w:basedOn w:val="a"/>
    <w:rsid w:val="00AF12D2"/>
    <w:pPr>
      <w:shd w:val="clear" w:color="000000" w:fill="FFFFFF"/>
      <w:spacing w:before="100" w:beforeAutospacing="1" w:after="100" w:afterAutospacing="1"/>
      <w:textAlignment w:val="top"/>
    </w:pPr>
    <w:rPr>
      <w:i/>
      <w:iCs/>
      <w:sz w:val="26"/>
      <w:szCs w:val="26"/>
    </w:rPr>
  </w:style>
  <w:style w:type="paragraph" w:customStyle="1" w:styleId="xl279">
    <w:name w:val="xl279"/>
    <w:basedOn w:val="a"/>
    <w:rsid w:val="00AF12D2"/>
    <w:pPr>
      <w:shd w:val="clear" w:color="000000" w:fill="FFFFFF"/>
      <w:spacing w:before="100" w:beforeAutospacing="1" w:after="100" w:afterAutospacing="1"/>
      <w:textAlignment w:val="center"/>
    </w:pPr>
    <w:rPr>
      <w:b/>
      <w:bCs/>
      <w:sz w:val="40"/>
      <w:szCs w:val="40"/>
    </w:rPr>
  </w:style>
  <w:style w:type="paragraph" w:customStyle="1" w:styleId="xl280">
    <w:name w:val="xl280"/>
    <w:basedOn w:val="a"/>
    <w:rsid w:val="00AF12D2"/>
    <w:pPr>
      <w:shd w:val="clear" w:color="000000" w:fill="FFFFFF"/>
      <w:spacing w:before="100" w:beforeAutospacing="1" w:after="100" w:afterAutospacing="1"/>
      <w:jc w:val="center"/>
      <w:textAlignment w:val="center"/>
    </w:pPr>
    <w:rPr>
      <w:sz w:val="40"/>
      <w:szCs w:val="40"/>
    </w:rPr>
  </w:style>
  <w:style w:type="paragraph" w:customStyle="1" w:styleId="xl281">
    <w:name w:val="xl281"/>
    <w:basedOn w:val="a"/>
    <w:rsid w:val="00AF12D2"/>
    <w:pPr>
      <w:shd w:val="clear" w:color="000000" w:fill="FFFFFF"/>
      <w:spacing w:before="100" w:beforeAutospacing="1" w:after="100" w:afterAutospacing="1"/>
      <w:textAlignment w:val="top"/>
    </w:pPr>
  </w:style>
  <w:style w:type="paragraph" w:customStyle="1" w:styleId="xl282">
    <w:name w:val="xl282"/>
    <w:basedOn w:val="a"/>
    <w:rsid w:val="00AF12D2"/>
    <w:pPr>
      <w:shd w:val="clear" w:color="000000" w:fill="FFFFFF"/>
      <w:spacing w:before="100" w:beforeAutospacing="1" w:after="100" w:afterAutospacing="1"/>
      <w:jc w:val="center"/>
      <w:textAlignment w:val="top"/>
    </w:pPr>
  </w:style>
  <w:style w:type="paragraph" w:customStyle="1" w:styleId="xl283">
    <w:name w:val="xl283"/>
    <w:basedOn w:val="a"/>
    <w:rsid w:val="00AF1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84">
    <w:name w:val="xl284"/>
    <w:basedOn w:val="a"/>
    <w:rsid w:val="00AF12D2"/>
    <w:pPr>
      <w:shd w:val="clear" w:color="000000" w:fill="FFFFFF"/>
      <w:spacing w:before="100" w:beforeAutospacing="1" w:after="100" w:afterAutospacing="1"/>
    </w:pPr>
    <w:rPr>
      <w:b/>
      <w:bCs/>
    </w:rPr>
  </w:style>
  <w:style w:type="paragraph" w:customStyle="1" w:styleId="xl285">
    <w:name w:val="xl285"/>
    <w:basedOn w:val="a"/>
    <w:rsid w:val="00AF12D2"/>
    <w:pPr>
      <w:shd w:val="clear" w:color="000000" w:fill="FFFFFF"/>
      <w:spacing w:before="100" w:beforeAutospacing="1" w:after="100" w:afterAutospacing="1"/>
      <w:textAlignment w:val="center"/>
    </w:pPr>
  </w:style>
  <w:style w:type="paragraph" w:customStyle="1" w:styleId="xl286">
    <w:name w:val="xl286"/>
    <w:basedOn w:val="a"/>
    <w:rsid w:val="00AF12D2"/>
    <w:pPr>
      <w:shd w:val="clear" w:color="000000" w:fill="FFFFFF"/>
      <w:spacing w:before="100" w:beforeAutospacing="1" w:after="100" w:afterAutospacing="1"/>
      <w:textAlignment w:val="center"/>
    </w:pPr>
    <w:rPr>
      <w:u w:val="single"/>
    </w:rPr>
  </w:style>
  <w:style w:type="paragraph" w:customStyle="1" w:styleId="xl287">
    <w:name w:val="xl287"/>
    <w:basedOn w:val="a"/>
    <w:rsid w:val="00AF12D2"/>
    <w:pPr>
      <w:shd w:val="clear" w:color="000000" w:fill="FFFFFF"/>
      <w:spacing w:before="100" w:beforeAutospacing="1" w:after="100" w:afterAutospacing="1"/>
      <w:textAlignment w:val="top"/>
    </w:pPr>
  </w:style>
  <w:style w:type="paragraph" w:customStyle="1" w:styleId="xl288">
    <w:name w:val="xl288"/>
    <w:basedOn w:val="a"/>
    <w:rsid w:val="00AF12D2"/>
    <w:pPr>
      <w:shd w:val="clear" w:color="000000" w:fill="FFFFFF"/>
      <w:spacing w:before="100" w:beforeAutospacing="1" w:after="100" w:afterAutospacing="1"/>
      <w:textAlignment w:val="center"/>
    </w:pPr>
  </w:style>
  <w:style w:type="paragraph" w:customStyle="1" w:styleId="xl289">
    <w:name w:val="xl289"/>
    <w:basedOn w:val="a"/>
    <w:rsid w:val="00AF12D2"/>
    <w:pPr>
      <w:shd w:val="clear" w:color="000000" w:fill="FFFFFF"/>
      <w:spacing w:before="100" w:beforeAutospacing="1" w:after="100" w:afterAutospacing="1"/>
      <w:textAlignment w:val="center"/>
    </w:pPr>
  </w:style>
  <w:style w:type="paragraph" w:customStyle="1" w:styleId="xl290">
    <w:name w:val="xl290"/>
    <w:basedOn w:val="a"/>
    <w:rsid w:val="00AF12D2"/>
    <w:pPr>
      <w:shd w:val="clear" w:color="000000" w:fill="FFFFFF"/>
      <w:spacing w:before="100" w:beforeAutospacing="1" w:after="100" w:afterAutospacing="1"/>
      <w:textAlignment w:val="top"/>
    </w:pPr>
    <w:rPr>
      <w:sz w:val="26"/>
      <w:szCs w:val="26"/>
    </w:rPr>
  </w:style>
  <w:style w:type="paragraph" w:customStyle="1" w:styleId="xl291">
    <w:name w:val="xl291"/>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AF12D2"/>
    <w:pPr>
      <w:shd w:val="clear" w:color="000000" w:fill="FFFFFF"/>
      <w:spacing w:before="100" w:beforeAutospacing="1" w:after="100" w:afterAutospacing="1"/>
      <w:textAlignment w:val="center"/>
    </w:pPr>
  </w:style>
  <w:style w:type="paragraph" w:customStyle="1" w:styleId="xl293">
    <w:name w:val="xl293"/>
    <w:basedOn w:val="a"/>
    <w:rsid w:val="00AF1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94">
    <w:name w:val="xl294"/>
    <w:basedOn w:val="a"/>
    <w:rsid w:val="00AF12D2"/>
    <w:pPr>
      <w:pBdr>
        <w:left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95">
    <w:name w:val="xl295"/>
    <w:basedOn w:val="a"/>
    <w:rsid w:val="00AF1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96">
    <w:name w:val="xl296"/>
    <w:basedOn w:val="a"/>
    <w:rsid w:val="00AF12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97">
    <w:name w:val="xl297"/>
    <w:basedOn w:val="a"/>
    <w:rsid w:val="00AF12D2"/>
    <w:pPr>
      <w:pBdr>
        <w:top w:val="single" w:sz="4" w:space="0" w:color="auto"/>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98">
    <w:name w:val="xl298"/>
    <w:basedOn w:val="a"/>
    <w:rsid w:val="00AF12D2"/>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99">
    <w:name w:val="xl299"/>
    <w:basedOn w:val="a"/>
    <w:rsid w:val="00AF12D2"/>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300">
    <w:name w:val="xl300"/>
    <w:basedOn w:val="a"/>
    <w:rsid w:val="00AF12D2"/>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1">
    <w:name w:val="xl301"/>
    <w:basedOn w:val="a"/>
    <w:rsid w:val="00AF12D2"/>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02">
    <w:name w:val="xl302"/>
    <w:basedOn w:val="a"/>
    <w:rsid w:val="00AF12D2"/>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303">
    <w:name w:val="xl303"/>
    <w:basedOn w:val="a"/>
    <w:rsid w:val="00AF12D2"/>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
    <w:name w:val="xl304"/>
    <w:basedOn w:val="a"/>
    <w:rsid w:val="00AF12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5">
    <w:name w:val="xl305"/>
    <w:basedOn w:val="a"/>
    <w:rsid w:val="00AF12D2"/>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
    <w:name w:val="xl306"/>
    <w:basedOn w:val="a"/>
    <w:rsid w:val="00AF12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7">
    <w:name w:val="xl307"/>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8">
    <w:name w:val="xl308"/>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6"/>
      <w:szCs w:val="26"/>
    </w:rPr>
  </w:style>
  <w:style w:type="paragraph" w:customStyle="1" w:styleId="xl309">
    <w:name w:val="xl309"/>
    <w:basedOn w:val="a"/>
    <w:rsid w:val="00AF1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table" w:styleId="a6">
    <w:name w:val="Table Grid"/>
    <w:basedOn w:val="a1"/>
    <w:uiPriority w:val="39"/>
    <w:rsid w:val="005D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C2A3E"/>
    <w:rPr>
      <w:rFonts w:ascii="Tahoma" w:hAnsi="Tahoma" w:cs="Tahoma"/>
      <w:sz w:val="16"/>
      <w:szCs w:val="16"/>
    </w:rPr>
  </w:style>
  <w:style w:type="character" w:customStyle="1" w:styleId="a8">
    <w:name w:val="Текст выноски Знак"/>
    <w:basedOn w:val="a0"/>
    <w:link w:val="a7"/>
    <w:uiPriority w:val="99"/>
    <w:semiHidden/>
    <w:rsid w:val="003C2A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9243587">
      <w:bodyDiv w:val="1"/>
      <w:marLeft w:val="0"/>
      <w:marRight w:val="0"/>
      <w:marTop w:val="0"/>
      <w:marBottom w:val="0"/>
      <w:divBdr>
        <w:top w:val="none" w:sz="0" w:space="0" w:color="auto"/>
        <w:left w:val="none" w:sz="0" w:space="0" w:color="auto"/>
        <w:bottom w:val="none" w:sz="0" w:space="0" w:color="auto"/>
        <w:right w:val="none" w:sz="0" w:space="0" w:color="auto"/>
      </w:divBdr>
    </w:div>
    <w:div w:id="5691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Цирюк</dc:creator>
  <cp:lastModifiedBy>В.Д. Рускуль</cp:lastModifiedBy>
  <cp:revision>2</cp:revision>
  <dcterms:created xsi:type="dcterms:W3CDTF">2024-04-16T09:51:00Z</dcterms:created>
  <dcterms:modified xsi:type="dcterms:W3CDTF">2024-04-16T09:51:00Z</dcterms:modified>
</cp:coreProperties>
</file>